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09A6" w14:textId="773A4FD3" w:rsidR="00B14133" w:rsidRPr="00D8027F" w:rsidRDefault="009852CE" w:rsidP="00B14133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 w14:paraId="3C7466B3" w14:textId="021423B5" w:rsidR="00B14133" w:rsidRDefault="00B14133" w:rsidP="00B14133">
      <w:pPr>
        <w:spacing w:line="312" w:lineRule="auto"/>
        <w:jc w:val="right"/>
        <w:rPr>
          <w:rFonts w:ascii="Verdana" w:eastAsia="Calibri" w:hAnsi="Verdana" w:cs="Calibri"/>
          <w:b/>
          <w:sz w:val="18"/>
          <w:szCs w:val="18"/>
          <w:lang w:val="pl-PL"/>
        </w:rPr>
      </w:pPr>
      <w:r w:rsidRPr="00D8027F">
        <w:rPr>
          <w:rFonts w:ascii="Verdana" w:hAnsi="Verdana"/>
          <w:sz w:val="20"/>
          <w:szCs w:val="20"/>
        </w:rPr>
        <w:t xml:space="preserve">do Uchwały </w:t>
      </w:r>
      <w:r w:rsidR="00B23176">
        <w:rPr>
          <w:rFonts w:ascii="Verdana" w:hAnsi="Verdana"/>
          <w:sz w:val="20"/>
          <w:szCs w:val="20"/>
        </w:rPr>
        <w:t>Senatu nr 19</w:t>
      </w:r>
      <w:r>
        <w:rPr>
          <w:rFonts w:ascii="Verdana" w:hAnsi="Verdana"/>
          <w:sz w:val="20"/>
          <w:szCs w:val="20"/>
        </w:rPr>
        <w:t>/2024 z 25.06</w:t>
      </w:r>
      <w:r w:rsidRPr="00D8027F">
        <w:rPr>
          <w:rFonts w:ascii="Verdana" w:hAnsi="Verdana"/>
          <w:sz w:val="20"/>
          <w:szCs w:val="20"/>
        </w:rPr>
        <w:t>.2024</w:t>
      </w:r>
      <w:r w:rsidR="00B23176">
        <w:rPr>
          <w:rFonts w:ascii="Verdana" w:hAnsi="Verdana"/>
          <w:sz w:val="20"/>
          <w:szCs w:val="20"/>
        </w:rPr>
        <w:t xml:space="preserve"> r.</w:t>
      </w:r>
    </w:p>
    <w:p w14:paraId="7867D883" w14:textId="6FF59C27" w:rsidR="00F2662A" w:rsidRPr="000F2E61" w:rsidRDefault="00B14133">
      <w:pPr>
        <w:spacing w:line="312" w:lineRule="auto"/>
        <w:rPr>
          <w:rFonts w:ascii="Verdana" w:eastAsia="Calibri" w:hAnsi="Verdana" w:cs="Calibri"/>
          <w:b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sz w:val="18"/>
          <w:szCs w:val="18"/>
          <w:lang w:val="pl-PL"/>
        </w:rPr>
        <w:t>AKADEMIA SZTUK PIĘKNYCH W WARSZAWIE</w:t>
      </w:r>
    </w:p>
    <w:p w14:paraId="42EA148C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b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sz w:val="18"/>
          <w:szCs w:val="18"/>
          <w:lang w:val="pl-PL"/>
        </w:rPr>
        <w:t>WYDZIAŁ WZORNICTWA</w:t>
      </w:r>
    </w:p>
    <w:p w14:paraId="29231B8C" w14:textId="77777777" w:rsidR="00F2662A" w:rsidRPr="000F2E61" w:rsidRDefault="00F2662A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</w:p>
    <w:p w14:paraId="42E497C9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sz w:val="18"/>
          <w:szCs w:val="18"/>
          <w:lang w:val="pl-PL"/>
        </w:rPr>
        <w:t xml:space="preserve">Kierunek studiów: </w:t>
      </w:r>
    </w:p>
    <w:p w14:paraId="569FD043" w14:textId="77777777" w:rsidR="00F2662A" w:rsidRPr="000F2E61" w:rsidRDefault="00B14133">
      <w:pPr>
        <w:spacing w:after="160" w:line="256" w:lineRule="auto"/>
        <w:rPr>
          <w:rFonts w:ascii="Verdana" w:eastAsia="Calibri" w:hAnsi="Verdana" w:cs="Calibri"/>
          <w:b/>
          <w:i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  <w:lang w:val="pl-PL"/>
        </w:rPr>
        <w:t>PROJEKTOWANIE I BADANIA</w:t>
      </w:r>
      <w:bookmarkStart w:id="0" w:name="_GoBack"/>
      <w:bookmarkEnd w:id="0"/>
    </w:p>
    <w:p w14:paraId="4C0576CD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b/>
          <w:i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sz w:val="18"/>
          <w:szCs w:val="18"/>
          <w:lang w:val="pl-PL"/>
        </w:rPr>
        <w:t>Poziom i forma studiów:</w:t>
      </w:r>
      <w:r w:rsidRPr="000F2E61">
        <w:rPr>
          <w:rFonts w:ascii="Verdana" w:eastAsia="Calibri" w:hAnsi="Verdana" w:cs="Calibri"/>
          <w:b/>
          <w:i/>
          <w:sz w:val="18"/>
          <w:szCs w:val="18"/>
          <w:lang w:val="pl-PL"/>
        </w:rPr>
        <w:t xml:space="preserve"> </w:t>
      </w:r>
    </w:p>
    <w:p w14:paraId="08AB75DC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  <w:lang w:val="pl-PL"/>
        </w:rPr>
        <w:t>studia II stopnia</w:t>
      </w:r>
    </w:p>
    <w:p w14:paraId="34D5352A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sz w:val="18"/>
          <w:szCs w:val="18"/>
          <w:lang w:val="pl-PL"/>
        </w:rPr>
        <w:t xml:space="preserve">Profil kształcenia: </w:t>
      </w:r>
    </w:p>
    <w:p w14:paraId="72656798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  <w:lang w:val="pl-PL"/>
        </w:rPr>
        <w:t>ogólnoakademicki</w:t>
      </w:r>
    </w:p>
    <w:p w14:paraId="37441C2B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sz w:val="18"/>
          <w:szCs w:val="18"/>
          <w:lang w:val="pl-PL"/>
        </w:rPr>
        <w:t>Dziedzina:</w:t>
      </w:r>
    </w:p>
    <w:p w14:paraId="4AF97177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  <w:lang w:val="pl-PL"/>
        </w:rPr>
        <w:t>sztuki</w:t>
      </w:r>
    </w:p>
    <w:p w14:paraId="5E82C5E2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  <w:lang w:val="pl-PL"/>
        </w:rPr>
      </w:pPr>
      <w:r w:rsidRPr="000F2E61">
        <w:rPr>
          <w:rFonts w:ascii="Verdana" w:eastAsia="Calibri" w:hAnsi="Verdana" w:cs="Calibri"/>
          <w:sz w:val="18"/>
          <w:szCs w:val="18"/>
          <w:lang w:val="pl-PL"/>
        </w:rPr>
        <w:t xml:space="preserve">Dyscyplina: </w:t>
      </w:r>
    </w:p>
    <w:p w14:paraId="59EE5F45" w14:textId="77777777" w:rsidR="00F2662A" w:rsidRPr="000F2E61" w:rsidRDefault="00B14133">
      <w:pPr>
        <w:spacing w:line="312" w:lineRule="auto"/>
        <w:rPr>
          <w:rFonts w:ascii="Verdana" w:eastAsia="Calibri" w:hAnsi="Verdana" w:cs="Calibri"/>
          <w:sz w:val="18"/>
          <w:szCs w:val="18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</w:rPr>
        <w:t>sztuki plastyczne i konserwacja dzieł sztuki</w:t>
      </w:r>
    </w:p>
    <w:p w14:paraId="28C9B0AF" w14:textId="77777777" w:rsidR="00F2662A" w:rsidRPr="000F2E61" w:rsidRDefault="00B14133">
      <w:pPr>
        <w:tabs>
          <w:tab w:val="center" w:pos="4536"/>
          <w:tab w:val="right" w:pos="8280"/>
        </w:tabs>
        <w:spacing w:line="312" w:lineRule="auto"/>
        <w:rPr>
          <w:rFonts w:ascii="Verdana" w:eastAsia="Calibri" w:hAnsi="Verdana" w:cs="Calibri"/>
          <w:b/>
          <w:sz w:val="18"/>
          <w:szCs w:val="18"/>
        </w:rPr>
      </w:pPr>
      <w:r w:rsidRPr="000F2E61">
        <w:rPr>
          <w:rFonts w:ascii="Verdana" w:eastAsia="Calibri" w:hAnsi="Verdana" w:cs="Calibri"/>
          <w:sz w:val="18"/>
          <w:szCs w:val="18"/>
        </w:rPr>
        <w:t>Poziom Polskiej Ramy Kwalifikacji:</w:t>
      </w:r>
      <w:r w:rsidRPr="000F2E61">
        <w:rPr>
          <w:rFonts w:ascii="Verdana" w:eastAsia="Calibri" w:hAnsi="Verdana" w:cs="Calibri"/>
          <w:b/>
          <w:sz w:val="18"/>
          <w:szCs w:val="18"/>
        </w:rPr>
        <w:t xml:space="preserve"> </w:t>
      </w:r>
    </w:p>
    <w:p w14:paraId="5C8C0283" w14:textId="77777777" w:rsidR="00F2662A" w:rsidRPr="000F2E61" w:rsidRDefault="00B14133">
      <w:pPr>
        <w:tabs>
          <w:tab w:val="center" w:pos="4536"/>
          <w:tab w:val="right" w:pos="8280"/>
        </w:tabs>
        <w:spacing w:line="312" w:lineRule="auto"/>
        <w:rPr>
          <w:rFonts w:ascii="Verdana" w:eastAsia="Calibri" w:hAnsi="Verdana" w:cs="Calibri"/>
          <w:b/>
          <w:i/>
          <w:sz w:val="18"/>
          <w:szCs w:val="18"/>
        </w:rPr>
      </w:pPr>
      <w:r w:rsidRPr="000F2E61">
        <w:rPr>
          <w:rFonts w:ascii="Verdana" w:eastAsia="Calibri" w:hAnsi="Verdana" w:cs="Calibri"/>
          <w:b/>
          <w:i/>
          <w:sz w:val="18"/>
          <w:szCs w:val="18"/>
        </w:rPr>
        <w:t>7 PRK dla studiów I stopnia</w:t>
      </w:r>
    </w:p>
    <w:p w14:paraId="02494CBC" w14:textId="77777777" w:rsidR="00F2662A" w:rsidRPr="000F2E61" w:rsidRDefault="00F2662A">
      <w:pPr>
        <w:spacing w:line="312" w:lineRule="auto"/>
        <w:rPr>
          <w:rFonts w:ascii="Verdana" w:eastAsia="Calibri" w:hAnsi="Verdana" w:cs="Calibri"/>
          <w:b/>
          <w:i/>
          <w:sz w:val="18"/>
          <w:szCs w:val="18"/>
        </w:rPr>
      </w:pPr>
    </w:p>
    <w:p w14:paraId="51118669" w14:textId="77777777" w:rsidR="00F2662A" w:rsidRPr="000F2E61" w:rsidRDefault="00B14133">
      <w:pPr>
        <w:widowControl w:val="0"/>
        <w:spacing w:line="312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0F2E61">
        <w:rPr>
          <w:rFonts w:ascii="Verdana" w:eastAsia="Calibri" w:hAnsi="Verdana" w:cs="Calibri"/>
          <w:b/>
          <w:sz w:val="18"/>
          <w:szCs w:val="18"/>
        </w:rPr>
        <w:t>OPIS ZAKŁADANYCH EFEKTÓW UCZENIA SIĘ</w:t>
      </w:r>
    </w:p>
    <w:p w14:paraId="285E5A3E" w14:textId="77777777" w:rsidR="00F2662A" w:rsidRPr="000F2E61" w:rsidRDefault="00B14133">
      <w:pPr>
        <w:widowControl w:val="0"/>
        <w:spacing w:line="312" w:lineRule="auto"/>
        <w:jc w:val="center"/>
        <w:rPr>
          <w:rFonts w:ascii="Verdana" w:eastAsia="Calibri" w:hAnsi="Verdana" w:cs="Calibri"/>
          <w:b/>
          <w:i/>
          <w:sz w:val="18"/>
          <w:szCs w:val="18"/>
        </w:rPr>
      </w:pPr>
      <w:r w:rsidRPr="000F2E61">
        <w:rPr>
          <w:rFonts w:ascii="Verdana" w:eastAsia="Calibri" w:hAnsi="Verdana" w:cs="Calibri"/>
          <w:b/>
          <w:sz w:val="18"/>
          <w:szCs w:val="18"/>
        </w:rPr>
        <w:t xml:space="preserve">dla kierunku </w:t>
      </w:r>
      <w:r w:rsidRPr="000F2E61">
        <w:rPr>
          <w:rFonts w:ascii="Verdana" w:eastAsia="Calibri" w:hAnsi="Verdana" w:cs="Calibri"/>
          <w:b/>
          <w:i/>
          <w:sz w:val="18"/>
          <w:szCs w:val="18"/>
        </w:rPr>
        <w:t>PROJEKTOWANIE I BADANIA</w:t>
      </w:r>
    </w:p>
    <w:p w14:paraId="46B8BCD0" w14:textId="77777777" w:rsidR="00F2662A" w:rsidRPr="000F2E61" w:rsidRDefault="00B14133">
      <w:pPr>
        <w:widowControl w:val="0"/>
        <w:spacing w:line="312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0F2E61">
        <w:rPr>
          <w:rFonts w:ascii="Verdana" w:eastAsia="Calibri" w:hAnsi="Verdana" w:cs="Calibri"/>
          <w:b/>
          <w:sz w:val="18"/>
          <w:szCs w:val="18"/>
        </w:rPr>
        <w:t>studia II stopnia, dzienne (4 semestry)</w:t>
      </w:r>
    </w:p>
    <w:p w14:paraId="38304B8F" w14:textId="77777777" w:rsidR="00F2662A" w:rsidRPr="000F2E61" w:rsidRDefault="00F2662A">
      <w:pPr>
        <w:widowControl w:val="0"/>
        <w:spacing w:line="288" w:lineRule="auto"/>
        <w:rPr>
          <w:rFonts w:ascii="Verdana" w:eastAsia="Calibri" w:hAnsi="Verdana" w:cs="Calibri"/>
          <w:b/>
          <w:sz w:val="18"/>
          <w:szCs w:val="18"/>
        </w:rPr>
      </w:pPr>
    </w:p>
    <w:p w14:paraId="2FCF782E" w14:textId="77777777" w:rsidR="00F2662A" w:rsidRPr="000F2E61" w:rsidRDefault="00B14133">
      <w:pPr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0F2E61">
        <w:rPr>
          <w:rFonts w:ascii="Verdana" w:eastAsia="Calibri" w:hAnsi="Verdana" w:cs="Calibri"/>
          <w:sz w:val="18"/>
          <w:szCs w:val="18"/>
        </w:rPr>
        <w:t>Opis zakładanych efektów uczenia sie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 uwzgle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dnia charakterystyki drugiego stopnia dla kwalifikacji na poziomie </w:t>
      </w:r>
      <w:r w:rsidRPr="000F2E61">
        <w:rPr>
          <w:rFonts w:ascii="Verdana" w:eastAsia="Calibri" w:hAnsi="Verdana" w:cs="Calibri"/>
          <w:color w:val="FF2600"/>
          <w:sz w:val="18"/>
          <w:szCs w:val="18"/>
        </w:rPr>
        <w:t>7</w:t>
      </w:r>
      <w:r w:rsidRPr="000F2E61">
        <w:rPr>
          <w:rFonts w:ascii="Verdana" w:eastAsia="Calibri" w:hAnsi="Verdana" w:cs="Calibri"/>
          <w:sz w:val="18"/>
          <w:szCs w:val="18"/>
        </w:rPr>
        <w:t xml:space="preserve"> Polskiej Ramy Kwalifikacji dla dziedziny </w:t>
      </w:r>
      <w:r w:rsidRPr="000F2E61">
        <w:rPr>
          <w:rFonts w:ascii="Verdana" w:eastAsia="Calibri" w:hAnsi="Verdana" w:cs="Calibri"/>
          <w:i/>
          <w:sz w:val="18"/>
          <w:szCs w:val="18"/>
        </w:rPr>
        <w:t>sztuki</w:t>
      </w:r>
      <w:r w:rsidRPr="000F2E61">
        <w:rPr>
          <w:rFonts w:ascii="Verdana" w:eastAsia="Calibri" w:hAnsi="Verdana" w:cs="Calibri"/>
          <w:sz w:val="18"/>
          <w:szCs w:val="18"/>
        </w:rPr>
        <w:t>, określone w rozporza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>dzeniu Ministra Nauki i Szkolnictwa Wyz</w:t>
      </w:r>
      <w:r w:rsidRPr="000F2E61">
        <w:rPr>
          <w:rFonts w:ascii="Arial" w:eastAsia="Calibri" w:hAnsi="Arial" w:cs="Arial"/>
          <w:sz w:val="18"/>
          <w:szCs w:val="18"/>
        </w:rPr>
        <w:t>̇</w:t>
      </w:r>
      <w:r w:rsidRPr="000F2E61">
        <w:rPr>
          <w:rFonts w:ascii="Verdana" w:eastAsia="Calibri" w:hAnsi="Verdana" w:cs="Calibri"/>
          <w:sz w:val="18"/>
          <w:szCs w:val="18"/>
        </w:rPr>
        <w:t>szego z dnia 14 listopada 2018 r. w sprawie charakterystyk drugiego stopnia efektów uczenia sie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 dla kwalifikacji na poziomach </w:t>
      </w:r>
      <w:r w:rsidRPr="000F2E61">
        <w:rPr>
          <w:rFonts w:ascii="Verdana" w:eastAsia="Calibri" w:hAnsi="Verdana" w:cs="Calibri"/>
          <w:color w:val="FF2600"/>
          <w:sz w:val="18"/>
          <w:szCs w:val="18"/>
        </w:rPr>
        <w:t>7</w:t>
      </w:r>
      <w:r w:rsidRPr="000F2E61">
        <w:rPr>
          <w:rFonts w:ascii="Verdana" w:eastAsia="Calibri" w:hAnsi="Verdana" w:cs="Calibri"/>
          <w:sz w:val="18"/>
          <w:szCs w:val="18"/>
        </w:rPr>
        <w:t xml:space="preserve"> Polskiej Ramy Kwalifikacji.</w:t>
      </w:r>
    </w:p>
    <w:p w14:paraId="45423E46" w14:textId="77777777" w:rsidR="00F2662A" w:rsidRPr="000F2E61" w:rsidRDefault="00B14133">
      <w:pPr>
        <w:spacing w:line="288" w:lineRule="auto"/>
        <w:rPr>
          <w:rFonts w:ascii="Verdana" w:eastAsia="Calibri" w:hAnsi="Verdana" w:cs="Calibri"/>
          <w:color w:val="000000"/>
          <w:sz w:val="18"/>
          <w:szCs w:val="18"/>
        </w:rPr>
      </w:pPr>
      <w:r w:rsidRPr="000F2E61">
        <w:rPr>
          <w:rFonts w:ascii="Verdana" w:eastAsia="Calibri" w:hAnsi="Verdana" w:cs="Calibri"/>
          <w:sz w:val="18"/>
          <w:szCs w:val="18"/>
        </w:rPr>
        <w:t>Efekty uczenia sie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 odnosza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 sie</w:t>
      </w:r>
      <w:r w:rsidRPr="000F2E61">
        <w:rPr>
          <w:rFonts w:ascii="Arial" w:eastAsia="Calibri" w:hAnsi="Arial" w:cs="Arial"/>
          <w:sz w:val="18"/>
          <w:szCs w:val="18"/>
        </w:rPr>
        <w:t>̨</w:t>
      </w:r>
      <w:r w:rsidRPr="000F2E61">
        <w:rPr>
          <w:rFonts w:ascii="Verdana" w:eastAsia="Calibri" w:hAnsi="Verdana" w:cs="Calibri"/>
          <w:sz w:val="18"/>
          <w:szCs w:val="18"/>
        </w:rPr>
        <w:t xml:space="preserve"> do dyscyplin artystycznej </w:t>
      </w:r>
      <w:r w:rsidRPr="000F2E61">
        <w:rPr>
          <w:rFonts w:ascii="Verdana" w:eastAsia="Calibri" w:hAnsi="Verdana" w:cs="Calibri"/>
          <w:b/>
          <w:i/>
          <w:sz w:val="18"/>
          <w:szCs w:val="18"/>
        </w:rPr>
        <w:t>sztuki plastyczne i konserwacja dzieł sztuki</w:t>
      </w:r>
      <w:r w:rsidRPr="000F2E61">
        <w:rPr>
          <w:rFonts w:ascii="Verdana" w:eastAsia="Calibri" w:hAnsi="Verdana" w:cs="Calibri"/>
          <w:i/>
          <w:sz w:val="18"/>
          <w:szCs w:val="18"/>
        </w:rPr>
        <w:t>.</w:t>
      </w:r>
    </w:p>
    <w:p w14:paraId="195BDACC" w14:textId="77777777" w:rsidR="00F2662A" w:rsidRPr="000F2E61" w:rsidRDefault="00F2662A">
      <w:pPr>
        <w:widowControl w:val="0"/>
        <w:jc w:val="both"/>
        <w:rPr>
          <w:rFonts w:ascii="Verdana" w:eastAsia="Trebuchet MS" w:hAnsi="Verdana" w:cs="Trebuchet MS"/>
          <w:color w:val="000000"/>
          <w:sz w:val="18"/>
          <w:szCs w:val="18"/>
        </w:rPr>
      </w:pPr>
    </w:p>
    <w:tbl>
      <w:tblPr>
        <w:tblStyle w:val="a1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  <w:gridCol w:w="1276"/>
      </w:tblGrid>
      <w:tr w:rsidR="00F2662A" w:rsidRPr="000F2E61" w14:paraId="0786857F" w14:textId="77777777">
        <w:trPr>
          <w:trHeight w:val="109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59601" w14:textId="77777777" w:rsidR="00F2662A" w:rsidRPr="000F2E61" w:rsidRDefault="00B14133">
            <w:pPr>
              <w:widowControl w:val="0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>Numer efektu uczenia się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892A8" w14:textId="77777777" w:rsidR="00F2662A" w:rsidRPr="000F2E61" w:rsidRDefault="00B14133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>KATEGORIA</w:t>
            </w:r>
          </w:p>
          <w:p w14:paraId="48DF1F42" w14:textId="77777777" w:rsidR="00F2662A" w:rsidRPr="000F2E61" w:rsidRDefault="00F2662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F3DB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 xml:space="preserve">Odniesienie </w:t>
            </w:r>
          </w:p>
          <w:p w14:paraId="629DD9F8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>do kodu</w:t>
            </w:r>
          </w:p>
          <w:p w14:paraId="5CBFEEE3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 xml:space="preserve">składnika opisu PRK </w:t>
            </w:r>
          </w:p>
          <w:p w14:paraId="4A3C549A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b/>
                <w:i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 xml:space="preserve">dla dziedziny </w:t>
            </w:r>
            <w:r w:rsidRPr="000F2E61">
              <w:rPr>
                <w:rFonts w:ascii="Verdana" w:eastAsia="Calibri" w:hAnsi="Verdana" w:cs="Calibri"/>
                <w:b/>
                <w:i/>
                <w:color w:val="000000"/>
                <w:sz w:val="18"/>
                <w:szCs w:val="18"/>
              </w:rPr>
              <w:t>sztuka</w:t>
            </w:r>
          </w:p>
        </w:tc>
      </w:tr>
      <w:tr w:rsidR="00F2662A" w:rsidRPr="000F2E61" w14:paraId="1CB311F0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BFBAE" w14:textId="77777777" w:rsidR="00F2662A" w:rsidRPr="000F2E61" w:rsidRDefault="00B14133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>WIEDZA: ABSOLWENT ZNA I ROZUMIE</w:t>
            </w:r>
          </w:p>
        </w:tc>
      </w:tr>
      <w:tr w:rsidR="00F2662A" w:rsidRPr="000F2E61" w14:paraId="6025DD7F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3E1DB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54D8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metody kierowania procesem projektowania produktów lub usług potrzebne do realizacji projektów wzorniczych, graficznych, a także projektów o charakterze interdyscyplinarnym;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FA47B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14E231E5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30AC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00AB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zależności pomiędzy sztukami plastycznymi a projektowaniem;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4CDC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18703E5B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EAD8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3ED7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wpływ zagadnień społecznych, technicznych, ekonomicznych i środowiskowych na organizowanie procesu projektowego;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DA282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04F2820F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D68B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4FCA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metody zarządzania procesem projektowania produktów, przekazów wizualnych i wyposażenia przestrzeni;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CC231" w14:textId="77777777" w:rsidR="00F2662A" w:rsidRPr="000F2E61" w:rsidRDefault="00B141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br/>
              <w:t>P7S_WK</w:t>
            </w:r>
          </w:p>
        </w:tc>
      </w:tr>
      <w:tr w:rsidR="00F2662A" w:rsidRPr="000F2E61" w14:paraId="154E81CC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42C06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D353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najnowsze rozwiązania technologiczne i materiałowe;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CD546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br/>
              <w:t>P7S_WK</w:t>
            </w:r>
          </w:p>
        </w:tc>
      </w:tr>
      <w:tr w:rsidR="00F2662A" w:rsidRPr="000F2E61" w14:paraId="021EA484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63EC1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lastRenderedPageBreak/>
              <w:t>K_W06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7589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zagadnienia budowy marki produktów i usług;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F9AF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160DC743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A0BD4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C6D7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finansowe, marketingowe, prawne i etyczne aspekty prowadzenia praktyki zawodowej projektanta organizującego proces projektowy;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D1C91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310F4DAD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20DFD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62AD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powiązania zagadnień teoretycznych zawodu projektanta i organizatora procesu projektowego a praktyką;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506E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61AD0165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3A4CA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A309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zagadnienia z obszaru nauk humanistycznych takich jak: filozofia, estetyka, teoria mediów, antropologia kultury oraz ich związki z wykonywanym zawodem;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7F51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664C662F" w14:textId="77777777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B57A8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K_W10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AB50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przepisy prawne w zakresie ochrony własności intelektualnej w ramach własnej działalności projektowej i artystycznej oraz zasady zarządzania zasobami własności intelektualnej;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E963" w14:textId="77777777" w:rsidR="00F2662A" w:rsidRPr="000F2E61" w:rsidRDefault="00B14133">
            <w:pPr>
              <w:widowControl w:val="0"/>
              <w:tabs>
                <w:tab w:val="left" w:pos="709"/>
              </w:tabs>
              <w:jc w:val="center"/>
              <w:rPr>
                <w:rFonts w:ascii="Verdana" w:eastAsia="Calibri" w:hAnsi="Verdana" w:cs="Calibri"/>
                <w:i/>
                <w:color w:val="FF26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P7S_WG</w:t>
            </w:r>
          </w:p>
        </w:tc>
      </w:tr>
      <w:tr w:rsidR="00F2662A" w:rsidRPr="000F2E61" w14:paraId="3DE40F1F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91695" w14:textId="77777777" w:rsidR="00F2662A" w:rsidRPr="000F2E61" w:rsidRDefault="00B14133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sz w:val="18"/>
                <w:szCs w:val="18"/>
              </w:rPr>
              <w:t>UMIEJĘTNOŚCI: ABSOLWENT POTRAFI</w:t>
            </w:r>
          </w:p>
        </w:tc>
      </w:tr>
      <w:tr w:rsidR="00F2662A" w:rsidRPr="000F2E61" w14:paraId="3869171B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EC8E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EAB0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 xml:space="preserve">samodzielnie organizować kompleksowe przedsięwzięcia projektowe i artystyczne. W tym samodzielnie analizować i interpretować badania, organizować proces projektowy, nadzór nad przygotowaniem dokumentacji, prezentacji i wdrożenia projektu;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F3961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</w:t>
            </w:r>
          </w:p>
        </w:tc>
      </w:tr>
      <w:tr w:rsidR="00F2662A" w:rsidRPr="000F2E61" w14:paraId="0D26134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82A9F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D7FF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realizować własne koncepcje artystyczne, projektowe i organizacyjne w zakresie twórczości artystycznej oraz projektowania produktów i komunikacji wizualnej, osiągając zamierzone cele estetyczne, użytkowe, techniczne i komercyjne;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415B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</w:t>
            </w:r>
          </w:p>
        </w:tc>
      </w:tr>
      <w:tr w:rsidR="00F2662A" w:rsidRPr="000F2E61" w14:paraId="2950F500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699C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4A15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rozwijać umiejętności organizacji pracy zespołu umożliwiające realizacje interdyscyplinarnych przedsięwzięć projektowych i artystycznych;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DB3F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 P7S_UO</w:t>
            </w:r>
          </w:p>
        </w:tc>
      </w:tr>
      <w:tr w:rsidR="00F2662A" w:rsidRPr="000F2E61" w14:paraId="53E21FDD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3D72B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621D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wykorzystywać dostępne technologie w procesie powstawania nowych rozwiązań;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D60B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 P7S_UK</w:t>
            </w:r>
          </w:p>
        </w:tc>
      </w:tr>
      <w:tr w:rsidR="00F2662A" w:rsidRPr="000F2E61" w14:paraId="7D5960C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4025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A3A2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podejmować działania w zakresie budowy marki nowo powstających produktów i usług;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4FAD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 P7S_UK</w:t>
            </w:r>
          </w:p>
        </w:tc>
      </w:tr>
      <w:tr w:rsidR="00F2662A" w:rsidRPr="000F2E61" w14:paraId="484BFCA9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3D18B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B484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interpretować wpływ cywilizacyjnych problemów społecznych, ekonomicznych i środowiskowych na proces powstawania nowych produktów i usług;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D875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P7S_UW P7S_UK</w:t>
            </w:r>
          </w:p>
        </w:tc>
      </w:tr>
      <w:tr w:rsidR="00F2662A" w:rsidRPr="000F2E61" w14:paraId="412897B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B87C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45C4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 xml:space="preserve">kreatywnie i twórczo zarządzać procesami projektowymi oraz przedsięwzięciami artystycznymi;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2613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P7S_UK P7S_UO</w:t>
            </w:r>
          </w:p>
        </w:tc>
      </w:tr>
      <w:tr w:rsidR="00F2662A" w:rsidRPr="000F2E61" w14:paraId="4FA4A09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5A12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3CA7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przygotowywać rozbudowane prace pisemne i wystąpienia ustne na temat sztuki, projektowania produktów, komunikacji wizualnej oraz mody, z wykorzystaniem różnych źródeł;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1C3E2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P7S_UK</w:t>
            </w:r>
          </w:p>
        </w:tc>
      </w:tr>
      <w:tr w:rsidR="00F2662A" w:rsidRPr="000F2E61" w14:paraId="66196367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2E6B3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534B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posługiwać się językiem obcym zgodnie z wymaganiami określonymi dla poziomu B2+ Europejskiego Systemu Opisu Kształcenia Językowego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D3E3D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P7S_UK</w:t>
            </w:r>
          </w:p>
        </w:tc>
      </w:tr>
      <w:tr w:rsidR="00F2662A" w:rsidRPr="000F2E61" w14:paraId="7BFCDCF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5DED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K_U10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426F" w14:textId="77777777" w:rsidR="00F2662A" w:rsidRPr="000F2E61" w:rsidRDefault="00B14133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profesjonalnie publicznie prezentować informacje dotyczące wszystkich uwarunkowań realizowanego przedsięwzięcia projektowego lub artystycznego;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878B" w14:textId="77777777" w:rsidR="00F2662A" w:rsidRPr="000F2E61" w:rsidRDefault="00B14133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sz w:val="18"/>
                <w:szCs w:val="18"/>
              </w:rPr>
              <w:t>P7S_UK</w:t>
            </w:r>
          </w:p>
        </w:tc>
      </w:tr>
      <w:tr w:rsidR="00F2662A" w:rsidRPr="000F2E61" w14:paraId="4430534C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2C6E" w14:textId="77777777" w:rsidR="00F2662A" w:rsidRPr="000F2E61" w:rsidRDefault="00B14133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b/>
                <w:color w:val="000000"/>
                <w:sz w:val="18"/>
                <w:szCs w:val="18"/>
              </w:rPr>
              <w:t>KOMPETENCJE SPOŁECZNE: ABSOLWENT JEST GOTÓW DO</w:t>
            </w:r>
          </w:p>
        </w:tc>
      </w:tr>
      <w:tr w:rsidR="00F2662A" w:rsidRPr="000F2E61" w14:paraId="19616572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87490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65A5" w14:textId="77777777" w:rsidR="00F2662A" w:rsidRPr="000F2E61" w:rsidRDefault="00B14133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ustawicznego samokształcenia się na obszarze wykonywanego zawodu projektanta i organizatora procesu projektowego, oraz inspirowania i organizowania procesu uczenia się innych;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440A9" w14:textId="77777777" w:rsidR="00F2662A" w:rsidRPr="000F2E61" w:rsidRDefault="00B14133">
            <w:pPr>
              <w:widowControl w:val="0"/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P7S_KK P7S_KR</w:t>
            </w:r>
          </w:p>
        </w:tc>
      </w:tr>
      <w:tr w:rsidR="00F2662A" w:rsidRPr="000F2E61" w14:paraId="3FFA224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75EB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985C" w14:textId="77777777" w:rsidR="00F2662A" w:rsidRPr="000F2E61" w:rsidRDefault="00B14133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właściwego inspirowania współpracowników do analizowania i interpretacji badań, organizowania procesu projektowego, nadzoru nad przygotowaniem dokumentacji, prezentacji i wdrożenia projektu;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A8AE" w14:textId="77777777" w:rsidR="00F2662A" w:rsidRPr="000F2E61" w:rsidRDefault="00B14133">
            <w:pPr>
              <w:widowControl w:val="0"/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P7S_KK P7S_KR</w:t>
            </w:r>
          </w:p>
        </w:tc>
      </w:tr>
      <w:tr w:rsidR="00F2662A" w:rsidRPr="000F2E61" w14:paraId="73EBCC20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F75A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lastRenderedPageBreak/>
              <w:t>K_K03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42E9" w14:textId="77777777" w:rsidR="00F2662A" w:rsidRPr="000F2E61" w:rsidRDefault="00B14133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świadomego stymulowania kreatywności i zdolności do podejmowania właściwych decyzji u swoich współpracowników;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D15E" w14:textId="77777777" w:rsidR="00F2662A" w:rsidRPr="000F2E61" w:rsidRDefault="00B14133">
            <w:pPr>
              <w:widowControl w:val="0"/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P7S_KK</w:t>
            </w:r>
          </w:p>
        </w:tc>
      </w:tr>
      <w:tr w:rsidR="00F2662A" w:rsidRPr="000F2E61" w14:paraId="1AD6A41E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2E4AE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K_K04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BC731" w14:textId="77777777" w:rsidR="00F2662A" w:rsidRPr="000F2E61" w:rsidRDefault="00B14133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krytycznego, lecz konstruktywnego podejścia do istniejącej sytuacji społecznej, gospodarczej, rynkowej oraz środowiskowej, jak również własnej działalności i twórczości;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96C9" w14:textId="77777777" w:rsidR="00F2662A" w:rsidRPr="000F2E61" w:rsidRDefault="00B14133">
            <w:pPr>
              <w:widowControl w:val="0"/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P7S_KK P7S_KO</w:t>
            </w:r>
          </w:p>
        </w:tc>
      </w:tr>
      <w:tr w:rsidR="00F2662A" w:rsidRPr="000F2E61" w14:paraId="63864F62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D98F" w14:textId="77777777" w:rsidR="00F2662A" w:rsidRPr="000F2E61" w:rsidRDefault="00B14133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0170" w14:textId="77777777" w:rsidR="00F2662A" w:rsidRPr="000F2E61" w:rsidRDefault="00B14133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komunikowania się społecznego w ramach kierowania zespołem a w szczególności: inicjowania współpracy, przewodniczenia działaniom, organizacji pracy, prowadzenia negocjacji, przystępnego przekazywania swoich myśli oraz krytycznego analizowania poglądów członków zespołu;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11242" w14:textId="77777777" w:rsidR="00F2662A" w:rsidRPr="000F2E61" w:rsidRDefault="00B14133">
            <w:pPr>
              <w:widowControl w:val="0"/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0F2E61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P7S_KR P7S_KO</w:t>
            </w:r>
          </w:p>
        </w:tc>
      </w:tr>
    </w:tbl>
    <w:p w14:paraId="32A04189" w14:textId="77777777" w:rsidR="00F2662A" w:rsidRPr="000F2E61" w:rsidRDefault="00F2662A">
      <w:pPr>
        <w:widowControl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48FF03EE" w14:textId="77777777" w:rsidR="00F2662A" w:rsidRPr="000F2E61" w:rsidRDefault="00F2662A">
      <w:pPr>
        <w:widowControl w:val="0"/>
        <w:spacing w:line="288" w:lineRule="auto"/>
        <w:jc w:val="both"/>
        <w:rPr>
          <w:rFonts w:ascii="Verdana" w:hAnsi="Verdana"/>
          <w:sz w:val="18"/>
          <w:szCs w:val="18"/>
        </w:rPr>
      </w:pPr>
    </w:p>
    <w:sectPr w:rsidR="00F2662A" w:rsidRPr="000F2E61">
      <w:headerReference w:type="default" r:id="rId7"/>
      <w:footerReference w:type="default" r:id="rId8"/>
      <w:pgSz w:w="11906" w:h="16838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423D" w14:textId="77777777" w:rsidR="000F38A4" w:rsidRDefault="000F38A4">
      <w:r>
        <w:separator/>
      </w:r>
    </w:p>
  </w:endnote>
  <w:endnote w:type="continuationSeparator" w:id="0">
    <w:p w14:paraId="2B683330" w14:textId="77777777" w:rsidR="000F38A4" w:rsidRDefault="000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45B7" w14:textId="42E2CED8" w:rsidR="00F2662A" w:rsidRDefault="00B1413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35"/>
        <w:tab w:val="right" w:pos="9071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B23176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065D9" w14:textId="77777777" w:rsidR="000F38A4" w:rsidRDefault="000F38A4">
      <w:r>
        <w:separator/>
      </w:r>
    </w:p>
  </w:footnote>
  <w:footnote w:type="continuationSeparator" w:id="0">
    <w:p w14:paraId="2165BA4A" w14:textId="77777777" w:rsidR="000F38A4" w:rsidRDefault="000F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A967" w14:textId="77777777" w:rsidR="00F2662A" w:rsidRDefault="00F266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2A"/>
    <w:rsid w:val="000F2E61"/>
    <w:rsid w:val="000F38A4"/>
    <w:rsid w:val="009852CE"/>
    <w:rsid w:val="00B14133"/>
    <w:rsid w:val="00B23176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671D"/>
  <w15:docId w15:val="{1EF0212C-8B6E-844A-A643-CFE08B64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iUOXdJO/GzwgyKNmWNBw4BB/Q==">CgMxLjA4AHIhMTFDT1NFeVB2UzBMQXZZeUxQMUQ4bVBSTEdmTm5pQzVu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 nr 19.2024</dc:title>
  <dc:creator>Agnieszka Kołodziej</dc:creator>
  <cp:lastModifiedBy>Agnieszka</cp:lastModifiedBy>
  <cp:revision>5</cp:revision>
  <dcterms:created xsi:type="dcterms:W3CDTF">2022-06-12T08:36:00Z</dcterms:created>
  <dcterms:modified xsi:type="dcterms:W3CDTF">2024-06-20T12:38:00Z</dcterms:modified>
</cp:coreProperties>
</file>