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0F" w:rsidRDefault="0086550F" w:rsidP="0086550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5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4</w:t>
      </w:r>
    </w:p>
    <w:p w:rsidR="0086550F" w:rsidRDefault="0086550F" w:rsidP="0086550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550F" w:rsidRPr="00333049" w:rsidRDefault="0086550F" w:rsidP="003330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</w:t>
      </w:r>
    </w:p>
    <w:p w:rsidR="0086550F" w:rsidRPr="00333049" w:rsidRDefault="0086550F" w:rsidP="003330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PODYPLOWE DLA MENEDŻERÓW OPIEKI I KONSERWACJI – RESTAURACJI DZIEŁ SZTUKI</w:t>
      </w:r>
    </w:p>
    <w:p w:rsidR="0086550F" w:rsidRDefault="0086550F" w:rsidP="0086550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0F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Sylwetka absolwenta:</w:t>
      </w:r>
    </w:p>
    <w:p w:rsidR="0086550F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Studia Podyplomowe dla Menedżerów Opieki i Konserwacji - Restauracji Dzieł Sztuki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 swoją ofertę w szczególności do kadry zarządzającej odpowiedzialnej za mienie zabytkowe, do urzędników zasiadających w komisjach i departamentach odpowiedzialnych za ochronę dóbr kultury, do urzędników wyższego szczebla, w tym nadzoru konserwatorskiego, do członków komisji nadzorujących podległe instytucje kultury, do osób administrujących przyznawanie funduszy oraz wszystkich tych, którzy posiadają doświadczenie na stanowiskach kierowniczych i związani są z tematyką dóbr kultury objętych ochroną a</w:t>
      </w:r>
      <w:r w:rsidR="00691E07">
        <w:rPr>
          <w:rFonts w:ascii="Times New Roman" w:eastAsia="Times New Roman" w:hAnsi="Times New Roman" w:cs="Times New Roman"/>
          <w:sz w:val="24"/>
          <w:szCs w:val="24"/>
          <w:lang w:eastAsia="pl-PL"/>
        </w:rPr>
        <w:t>rcheologiczną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konserwatorską. </w:t>
      </w:r>
    </w:p>
    <w:p w:rsidR="0086550F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0F" w:rsidRPr="00691E07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E07">
        <w:rPr>
          <w:rFonts w:ascii="Times New Roman" w:hAnsi="Times New Roman" w:cs="Times New Roman"/>
          <w:b/>
          <w:bCs/>
          <w:sz w:val="24"/>
          <w:szCs w:val="24"/>
        </w:rPr>
        <w:t>Forma studiów:</w:t>
      </w:r>
      <w:r w:rsidRPr="00691E07">
        <w:rPr>
          <w:rFonts w:ascii="Times New Roman" w:hAnsi="Times New Roman" w:cs="Times New Roman"/>
          <w:sz w:val="24"/>
          <w:szCs w:val="24"/>
        </w:rPr>
        <w:t xml:space="preserve"> niestacjonarne </w:t>
      </w:r>
    </w:p>
    <w:p w:rsidR="0086550F" w:rsidRPr="00691E07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07">
        <w:rPr>
          <w:rFonts w:ascii="Times New Roman" w:hAnsi="Times New Roman" w:cs="Times New Roman"/>
          <w:b/>
          <w:bCs/>
          <w:sz w:val="24"/>
          <w:szCs w:val="24"/>
        </w:rPr>
        <w:t>Rodzaj studiów:</w:t>
      </w:r>
      <w:r w:rsidRPr="00691E07">
        <w:rPr>
          <w:rFonts w:ascii="Times New Roman" w:hAnsi="Times New Roman" w:cs="Times New Roman"/>
          <w:sz w:val="24"/>
          <w:szCs w:val="24"/>
        </w:rPr>
        <w:t xml:space="preserve"> </w:t>
      </w:r>
      <w:r w:rsidR="00691E07" w:rsidRPr="00691E07">
        <w:rPr>
          <w:rFonts w:ascii="Times New Roman" w:hAnsi="Times New Roman" w:cs="Times New Roman"/>
          <w:sz w:val="24"/>
          <w:szCs w:val="24"/>
        </w:rPr>
        <w:t>podyplomowe (</w:t>
      </w:r>
      <w:r w:rsidRPr="00691E07">
        <w:rPr>
          <w:rFonts w:ascii="Times New Roman" w:hAnsi="Times New Roman" w:cs="Times New Roman"/>
          <w:sz w:val="24"/>
          <w:szCs w:val="24"/>
        </w:rPr>
        <w:t>doskonalące</w:t>
      </w:r>
      <w:r w:rsidR="00691E07" w:rsidRPr="00691E07">
        <w:rPr>
          <w:rFonts w:ascii="Times New Roman" w:hAnsi="Times New Roman" w:cs="Times New Roman"/>
          <w:sz w:val="24"/>
          <w:szCs w:val="24"/>
        </w:rPr>
        <w:t>)</w:t>
      </w:r>
      <w:r w:rsidRPr="0069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50F" w:rsidRPr="00691E07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50F" w:rsidRDefault="0086550F" w:rsidP="00865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semestrów: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550F" w:rsidRDefault="0086550F" w:rsidP="008655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punktów ECTS konieczna do ukończenia studiów: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6550F" w:rsidRDefault="0086550F" w:rsidP="008655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RAMOWY PLAN STUDIÓW:</w:t>
      </w:r>
    </w:p>
    <w:p w:rsidR="0086550F" w:rsidRDefault="0086550F" w:rsidP="0086550F">
      <w:pPr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970"/>
        <w:gridCol w:w="850"/>
        <w:gridCol w:w="730"/>
        <w:gridCol w:w="850"/>
        <w:gridCol w:w="850"/>
        <w:gridCol w:w="1095"/>
      </w:tblGrid>
      <w:tr w:rsidR="0086550F" w:rsidTr="00BE53F2">
        <w:tc>
          <w:tcPr>
            <w:tcW w:w="3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</w:t>
            </w:r>
          </w:p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PRZEDMIOTU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GODZ.</w:t>
            </w:r>
            <w:r>
              <w:rPr>
                <w:b/>
                <w:bCs/>
                <w:sz w:val="18"/>
                <w:szCs w:val="18"/>
              </w:rPr>
              <w:br/>
              <w:t>/TYG.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GODZ.</w:t>
            </w:r>
            <w:r>
              <w:rPr>
                <w:b/>
                <w:bCs/>
                <w:sz w:val="18"/>
                <w:szCs w:val="18"/>
              </w:rPr>
              <w:br/>
              <w:t>/SEM.</w:t>
            </w:r>
          </w:p>
        </w:tc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FORMA ZALICZENIA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1)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Edukacja i promocja dziedzictwa kulturowego objętego ochroną konserwatorską</w:t>
            </w:r>
            <w:r>
              <w:rPr>
                <w:rStyle w:val="Pogrubienie"/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czyli jak kształtować świadomość społeczną.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2)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Związki kultury i nauki z konserwacją. Etyka, teoria i filozofia ochrony dziedzictwa sztuk wizualnych w świetle społeczno-ekonomicznym.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eastAsia="pl-PL"/>
              </w:rPr>
              <w:t xml:space="preserve">(Moduł 3) </w:t>
            </w:r>
            <w:r>
              <w:rPr>
                <w:rStyle w:val="Pogrubienie"/>
                <w:rFonts w:eastAsia="Times New Roman"/>
                <w:sz w:val="18"/>
                <w:szCs w:val="18"/>
                <w:lang w:eastAsia="pl-PL"/>
              </w:rPr>
              <w:t xml:space="preserve">Model zarządzania zespołami i poszczególnymi etapami działań,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czyli jak ratować założenia twórców chronionych zabytków z wykorzystaniem nowoczesnej technologii.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4)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Zarządzanie nie tylko kryzysowe dziedzictwem kulturowym objętym ochroną konserwatorską.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gmail-msobodytext"/>
              <w:spacing w:before="0" w:after="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5) </w:t>
            </w:r>
            <w:r>
              <w:rPr>
                <w:sz w:val="18"/>
                <w:szCs w:val="18"/>
              </w:rPr>
              <w:t xml:space="preserve">Prawne ramy działalności twórczej i ochrony dziedzictwa kulturowego. 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6)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Jednostki administracji publicznej strażnikami dóbr kultury. 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7)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Marketing, Pozyskiwanie funduszy,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pl-PL"/>
              </w:rPr>
              <w:t>czyli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pl-PL"/>
              </w:rPr>
              <w:t xml:space="preserve"> “money makes the project goes around”.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lastRenderedPageBreak/>
              <w:t>(</w:t>
            </w:r>
            <w:proofErr w:type="spellStart"/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t>Moduł</w:t>
            </w:r>
            <w:proofErr w:type="spellEnd"/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t xml:space="preserve"> 8)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Sztuka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współczesna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jako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dobro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kultury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. Od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kolekcji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sztuki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ulicy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po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drapacze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chmur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snapToGri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86550F" w:rsidRDefault="0086550F" w:rsidP="003330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Zaliczenie semestralne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 – zaliczenie przedmiotów</w:t>
      </w:r>
    </w:p>
    <w:p w:rsidR="00333049" w:rsidRDefault="00333049" w:rsidP="003330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0F" w:rsidRDefault="0086550F" w:rsidP="0086550F">
      <w:pPr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970"/>
        <w:gridCol w:w="850"/>
        <w:gridCol w:w="730"/>
        <w:gridCol w:w="850"/>
        <w:gridCol w:w="850"/>
        <w:gridCol w:w="1095"/>
      </w:tblGrid>
      <w:tr w:rsidR="0086550F" w:rsidTr="00BE53F2">
        <w:tc>
          <w:tcPr>
            <w:tcW w:w="3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</w:t>
            </w:r>
          </w:p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PRZEDMIOTU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GODZ.</w:t>
            </w:r>
            <w:r>
              <w:rPr>
                <w:b/>
                <w:bCs/>
                <w:sz w:val="18"/>
                <w:szCs w:val="18"/>
              </w:rPr>
              <w:br/>
              <w:t>/TYG.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GODZ.</w:t>
            </w:r>
            <w:r>
              <w:rPr>
                <w:b/>
                <w:bCs/>
                <w:sz w:val="18"/>
                <w:szCs w:val="18"/>
              </w:rPr>
              <w:br/>
              <w:t>/SEM.</w:t>
            </w:r>
          </w:p>
        </w:tc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FORMA ZALICZENIA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1)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Edukacja i promocja dziedzictwa kulturowego objętego ochroną konserwatorską</w:t>
            </w:r>
            <w:r>
              <w:rPr>
                <w:rStyle w:val="Pogrubienie"/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czyli jak kształtować świadomość społeczną.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2)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Związki kultury i nauki z konserwacją. Etyka, teoria i filozofia ochrony dziedzictwa sztuk wizualnych w świetle społeczno-ekonomicznym.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eastAsia="pl-PL"/>
              </w:rPr>
              <w:t xml:space="preserve">(Moduł 3) </w:t>
            </w:r>
            <w:r>
              <w:rPr>
                <w:rStyle w:val="Pogrubienie"/>
                <w:rFonts w:eastAsia="Times New Roman"/>
                <w:sz w:val="18"/>
                <w:szCs w:val="18"/>
                <w:lang w:eastAsia="pl-PL"/>
              </w:rPr>
              <w:t xml:space="preserve">Model zarządzania zespołami i poszczególnymi etapami działań,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czyli jak ratować założenia twórców chronionych zabytków z wykorzystaniem nowoczesnej technologii.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4)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Zarządzanie nie tylko kryzysowe dziedzictwem kulturowym objętym ochroną konserwatorską.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gmail-msobodytext"/>
              <w:spacing w:before="0" w:after="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5) </w:t>
            </w:r>
            <w:r>
              <w:rPr>
                <w:sz w:val="18"/>
                <w:szCs w:val="18"/>
              </w:rPr>
              <w:t xml:space="preserve">Prawne ramy działalności twórczej i ochrony dziedzictwa kulturowego. 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6)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Jednostki administracji publicznej strażnikami dóbr kultury. 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(Moduł 7)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Marketing, Pozyskiwanie funduszy,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pl-PL"/>
              </w:rPr>
              <w:t>czyli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pl-PL"/>
              </w:rPr>
              <w:t xml:space="preserve"> “money makes the project goes around”.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t>(</w:t>
            </w:r>
            <w:proofErr w:type="spellStart"/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t>Moduł</w:t>
            </w:r>
            <w:proofErr w:type="spellEnd"/>
            <w:r>
              <w:rPr>
                <w:rStyle w:val="Pogrubienie"/>
                <w:rFonts w:eastAsia="Times New Roman"/>
                <w:b w:val="0"/>
                <w:bCs w:val="0"/>
                <w:sz w:val="14"/>
                <w:szCs w:val="14"/>
                <w:lang w:val="en-US" w:eastAsia="pl-PL"/>
              </w:rPr>
              <w:t xml:space="preserve"> 8)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Sztuka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współczesna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jako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dobro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kultury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. Od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kolekcji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sztuki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ulicy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po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drapacze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chmur</w:t>
            </w:r>
            <w:proofErr w:type="spellEnd"/>
            <w:r>
              <w:rPr>
                <w:rStyle w:val="Pogrubienie"/>
                <w:rFonts w:eastAsia="Times New Roman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EO</w:t>
            </w:r>
          </w:p>
        </w:tc>
      </w:tr>
      <w:tr w:rsidR="0086550F" w:rsidTr="00BE53F2"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snapToGri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50F" w:rsidRDefault="0086550F" w:rsidP="00BE53F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86550F" w:rsidRDefault="0086550F" w:rsidP="00865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E07" w:rsidRPr="00691E07" w:rsidRDefault="0086550F" w:rsidP="00691E07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1985"/>
          <w:tab w:val="righ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końcowy</w:t>
      </w:r>
      <w:r w:rsidR="0069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9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691E07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</w:p>
    <w:sectPr w:rsidR="00691E07" w:rsidRPr="0069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0F"/>
    <w:rsid w:val="00333049"/>
    <w:rsid w:val="00691E07"/>
    <w:rsid w:val="0086550F"/>
    <w:rsid w:val="00B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A1E"/>
  <w15:chartTrackingRefBased/>
  <w15:docId w15:val="{E7A1372F-EE59-4AFE-9FB2-EC1B6CE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0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6550F"/>
    <w:rPr>
      <w:b/>
      <w:bCs/>
    </w:rPr>
  </w:style>
  <w:style w:type="paragraph" w:styleId="Tekstpodstawowy">
    <w:name w:val="Body Text"/>
    <w:basedOn w:val="Normalny"/>
    <w:link w:val="TekstpodstawowyZnak"/>
    <w:rsid w:val="008655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550F"/>
    <w:rPr>
      <w:rFonts w:ascii="Calibri" w:eastAsia="Calibri" w:hAnsi="Calibri" w:cs="Calibri"/>
      <w:lang w:eastAsia="zh-CN"/>
    </w:rPr>
  </w:style>
  <w:style w:type="paragraph" w:customStyle="1" w:styleId="gmail-msobodytext">
    <w:name w:val="gmail-msobodytext"/>
    <w:basedOn w:val="Normalny"/>
    <w:rsid w:val="0086550F"/>
    <w:pPr>
      <w:suppressAutoHyphens w:val="0"/>
      <w:spacing w:before="280" w:after="280" w:line="240" w:lineRule="auto"/>
    </w:pPr>
  </w:style>
  <w:style w:type="paragraph" w:customStyle="1" w:styleId="Zawartotabeli">
    <w:name w:val="Zawartość tabeli"/>
    <w:basedOn w:val="Normalny"/>
    <w:rsid w:val="0086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2024-01-26T13:51:00Z</dcterms:created>
  <dcterms:modified xsi:type="dcterms:W3CDTF">2024-01-29T08:08:00Z</dcterms:modified>
</cp:coreProperties>
</file>