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9F9E9" w14:textId="726CDFC8" w:rsidR="00DD1BD1" w:rsidRPr="0078706C" w:rsidRDefault="00FD067D" w:rsidP="00FD067D">
      <w:pPr>
        <w:rPr>
          <w:rFonts w:ascii="Cambria" w:hAnsi="Cambria"/>
          <w:b/>
          <w:color w:val="FF0000"/>
        </w:rPr>
      </w:pPr>
      <w:r w:rsidRPr="0078706C">
        <w:rPr>
          <w:rFonts w:ascii="Cambria" w:hAnsi="Cambria" w:cs="Tahoma"/>
          <w:kern w:val="3"/>
        </w:rPr>
        <w:t xml:space="preserve">R.000.2.2021 </w:t>
      </w:r>
      <w:r w:rsidRPr="0078706C">
        <w:rPr>
          <w:rFonts w:ascii="Cambria" w:hAnsi="Cambria" w:cs="Tahoma"/>
          <w:kern w:val="3"/>
        </w:rPr>
        <w:tab/>
      </w:r>
      <w:r w:rsidRPr="0078706C">
        <w:rPr>
          <w:rFonts w:ascii="Cambria" w:hAnsi="Cambria" w:cs="Tahoma"/>
          <w:kern w:val="3"/>
        </w:rPr>
        <w:tab/>
      </w:r>
      <w:r w:rsidRPr="0078706C">
        <w:rPr>
          <w:rFonts w:ascii="Cambria" w:hAnsi="Cambria" w:cs="Tahoma"/>
          <w:kern w:val="3"/>
        </w:rPr>
        <w:tab/>
      </w:r>
      <w:r w:rsidRPr="0078706C">
        <w:rPr>
          <w:rFonts w:ascii="Cambria" w:hAnsi="Cambria" w:cs="Tahoma"/>
          <w:kern w:val="3"/>
        </w:rPr>
        <w:tab/>
        <w:t xml:space="preserve">    </w:t>
      </w:r>
    </w:p>
    <w:p w14:paraId="75EA53D6" w14:textId="2F3A8200" w:rsidR="005935E4" w:rsidRPr="007E3FC3" w:rsidRDefault="005935E4" w:rsidP="005935E4">
      <w:pPr>
        <w:jc w:val="center"/>
        <w:rPr>
          <w:rFonts w:ascii="Cambria" w:hAnsi="Cambria"/>
          <w:b/>
          <w:sz w:val="28"/>
          <w:szCs w:val="28"/>
        </w:rPr>
      </w:pPr>
      <w:r w:rsidRPr="007E3FC3">
        <w:rPr>
          <w:rFonts w:ascii="Cambria" w:hAnsi="Cambria"/>
          <w:b/>
          <w:sz w:val="28"/>
          <w:szCs w:val="28"/>
        </w:rPr>
        <w:t xml:space="preserve">UCHWAŁA nr </w:t>
      </w:r>
      <w:r w:rsidR="00657BC2" w:rsidRPr="007E3FC3">
        <w:rPr>
          <w:rFonts w:ascii="Cambria" w:hAnsi="Cambria"/>
          <w:b/>
          <w:sz w:val="28"/>
          <w:szCs w:val="28"/>
        </w:rPr>
        <w:t>11</w:t>
      </w:r>
      <w:r w:rsidRPr="007E3FC3">
        <w:rPr>
          <w:rFonts w:ascii="Cambria" w:hAnsi="Cambria"/>
          <w:b/>
          <w:sz w:val="28"/>
          <w:szCs w:val="28"/>
        </w:rPr>
        <w:t>/2021</w:t>
      </w:r>
    </w:p>
    <w:p w14:paraId="729A07D9" w14:textId="77777777" w:rsidR="00657BC2" w:rsidRPr="0078706C" w:rsidRDefault="00657BC2" w:rsidP="005935E4">
      <w:pPr>
        <w:jc w:val="center"/>
        <w:rPr>
          <w:rFonts w:ascii="Cambria" w:hAnsi="Cambria"/>
          <w:b/>
          <w:color w:val="FF0000"/>
        </w:rPr>
      </w:pPr>
      <w:bookmarkStart w:id="0" w:name="_GoBack"/>
      <w:bookmarkEnd w:id="0"/>
    </w:p>
    <w:p w14:paraId="399F2012" w14:textId="77777777" w:rsidR="005935E4" w:rsidRPr="0078706C" w:rsidRDefault="005935E4" w:rsidP="005935E4">
      <w:pPr>
        <w:jc w:val="center"/>
        <w:rPr>
          <w:rFonts w:ascii="Cambria" w:hAnsi="Cambria"/>
        </w:rPr>
      </w:pPr>
      <w:r w:rsidRPr="0078706C">
        <w:rPr>
          <w:rFonts w:ascii="Cambria" w:hAnsi="Cambria"/>
        </w:rPr>
        <w:t>Senatu Akademii Sztuk Pięknych</w:t>
      </w:r>
    </w:p>
    <w:p w14:paraId="289E1899" w14:textId="77777777" w:rsidR="005935E4" w:rsidRPr="0078706C" w:rsidRDefault="005935E4" w:rsidP="005935E4">
      <w:pPr>
        <w:jc w:val="center"/>
        <w:rPr>
          <w:rFonts w:ascii="Cambria" w:hAnsi="Cambria"/>
        </w:rPr>
      </w:pPr>
      <w:r w:rsidRPr="0078706C">
        <w:rPr>
          <w:rFonts w:ascii="Cambria" w:hAnsi="Cambria"/>
        </w:rPr>
        <w:t>w Warszawie</w:t>
      </w:r>
    </w:p>
    <w:p w14:paraId="5422790D" w14:textId="52FA95FF" w:rsidR="005935E4" w:rsidRPr="0078706C" w:rsidRDefault="005935E4" w:rsidP="005935E4">
      <w:pPr>
        <w:jc w:val="center"/>
        <w:rPr>
          <w:rFonts w:ascii="Cambria" w:hAnsi="Cambria"/>
        </w:rPr>
      </w:pPr>
      <w:r w:rsidRPr="0078706C">
        <w:rPr>
          <w:rFonts w:ascii="Cambria" w:hAnsi="Cambria"/>
        </w:rPr>
        <w:t xml:space="preserve">z </w:t>
      </w:r>
      <w:r w:rsidR="00DD1BD1" w:rsidRPr="0078706C">
        <w:rPr>
          <w:rFonts w:ascii="Cambria" w:hAnsi="Cambria"/>
        </w:rPr>
        <w:t xml:space="preserve">30 marca </w:t>
      </w:r>
      <w:r w:rsidRPr="0078706C">
        <w:rPr>
          <w:rFonts w:ascii="Cambria" w:hAnsi="Cambria"/>
        </w:rPr>
        <w:t>202</w:t>
      </w:r>
      <w:r w:rsidR="00DD1BD1" w:rsidRPr="0078706C">
        <w:rPr>
          <w:rFonts w:ascii="Cambria" w:hAnsi="Cambria"/>
        </w:rPr>
        <w:t>1</w:t>
      </w:r>
      <w:r w:rsidRPr="0078706C">
        <w:rPr>
          <w:rFonts w:ascii="Cambria" w:hAnsi="Cambria"/>
        </w:rPr>
        <w:t xml:space="preserve"> r.</w:t>
      </w:r>
    </w:p>
    <w:p w14:paraId="498ACEE6" w14:textId="77777777" w:rsidR="005935E4" w:rsidRPr="0078706C" w:rsidRDefault="005935E4" w:rsidP="005935E4">
      <w:pPr>
        <w:rPr>
          <w:rFonts w:ascii="Cambria" w:eastAsia="Times New Roman" w:hAnsi="Cambria" w:cs="Calibri"/>
          <w:b/>
          <w:lang w:eastAsia="pl-PL"/>
        </w:rPr>
      </w:pPr>
    </w:p>
    <w:p w14:paraId="6D302BF6" w14:textId="77777777" w:rsidR="005935E4" w:rsidRPr="0078706C" w:rsidRDefault="005935E4" w:rsidP="005935E4">
      <w:pPr>
        <w:jc w:val="both"/>
        <w:rPr>
          <w:rFonts w:ascii="Cambria" w:eastAsia="Times New Roman" w:hAnsi="Cambria" w:cs="Calibri"/>
          <w:b/>
          <w:lang w:eastAsia="pl-PL"/>
        </w:rPr>
      </w:pPr>
      <w:r w:rsidRPr="0078706C">
        <w:rPr>
          <w:rFonts w:ascii="Cambria" w:eastAsia="Times New Roman" w:hAnsi="Cambria" w:cs="Calibri"/>
          <w:b/>
          <w:lang w:eastAsia="pl-PL"/>
        </w:rPr>
        <w:t xml:space="preserve">w sprawie: </w:t>
      </w:r>
      <w:r w:rsidRPr="0078706C">
        <w:rPr>
          <w:rFonts w:ascii="Cambria" w:eastAsia="Times New Roman" w:hAnsi="Cambria" w:cs="Calibri"/>
          <w:lang w:eastAsia="pl-PL"/>
        </w:rPr>
        <w:t xml:space="preserve">zmiany </w:t>
      </w:r>
      <w:r w:rsidRPr="0078706C">
        <w:rPr>
          <w:rFonts w:ascii="Cambria" w:eastAsia="Times New Roman" w:hAnsi="Cambria" w:cs="Calibri"/>
          <w:i/>
          <w:lang w:eastAsia="pl-PL"/>
        </w:rPr>
        <w:t>Regulaminu przeprowadzania postępowań w sprawie nadania stopnia doktora habilitowanego w Akademii Sztuk Pięknych w Warszawie</w:t>
      </w:r>
    </w:p>
    <w:p w14:paraId="6C137779" w14:textId="77777777" w:rsidR="005935E4" w:rsidRPr="0078706C" w:rsidRDefault="005935E4" w:rsidP="005935E4">
      <w:pPr>
        <w:rPr>
          <w:rFonts w:ascii="Cambria" w:eastAsia="Times New Roman" w:hAnsi="Cambria" w:cs="Calibri"/>
          <w:lang w:eastAsia="pl-PL"/>
        </w:rPr>
      </w:pPr>
    </w:p>
    <w:p w14:paraId="41DB4795" w14:textId="2206BDCC" w:rsidR="005935E4" w:rsidRPr="0078706C" w:rsidRDefault="005935E4" w:rsidP="005935E4">
      <w:pPr>
        <w:jc w:val="both"/>
        <w:rPr>
          <w:rFonts w:ascii="Cambria" w:eastAsia="Times New Roman" w:hAnsi="Cambria" w:cs="Calibri"/>
          <w:lang w:eastAsia="pl-PL"/>
        </w:rPr>
      </w:pPr>
      <w:r w:rsidRPr="0078706C">
        <w:rPr>
          <w:rFonts w:ascii="Cambria" w:eastAsia="Times New Roman" w:hAnsi="Cambria" w:cs="Calibri"/>
          <w:lang w:eastAsia="pl-PL"/>
        </w:rPr>
        <w:t xml:space="preserve">Na podstawie art. 221 ust. 14 ustawy z dnia 20 lipca 2018 r. - Prawo o szkolnictwie wyższym i nauce </w:t>
      </w:r>
      <w:r w:rsidRPr="0078706C">
        <w:rPr>
          <w:rFonts w:ascii="Cambria" w:hAnsi="Cambria" w:cs="Times New Roman"/>
        </w:rPr>
        <w:t>(</w:t>
      </w:r>
      <w:proofErr w:type="spellStart"/>
      <w:r w:rsidR="00453BCD" w:rsidRPr="0078706C">
        <w:rPr>
          <w:rFonts w:ascii="Cambria" w:hAnsi="Cambria" w:cs="Times New Roman"/>
        </w:rPr>
        <w:t>t.j</w:t>
      </w:r>
      <w:proofErr w:type="spellEnd"/>
      <w:r w:rsidR="00453BCD" w:rsidRPr="0078706C">
        <w:rPr>
          <w:rFonts w:ascii="Cambria" w:hAnsi="Cambria" w:cs="Times New Roman"/>
        </w:rPr>
        <w:t>. Dz. U. z 2021, poz. 478</w:t>
      </w:r>
      <w:r w:rsidRPr="0078706C">
        <w:rPr>
          <w:rFonts w:ascii="Cambria" w:hAnsi="Cambria" w:cs="Times New Roman"/>
        </w:rPr>
        <w:t>)</w:t>
      </w:r>
      <w:r w:rsidR="0078706C" w:rsidRPr="0078706C">
        <w:rPr>
          <w:rFonts w:ascii="Cambria" w:eastAsia="Times New Roman" w:hAnsi="Cambria" w:cs="Calibri"/>
          <w:lang w:eastAsia="pl-PL"/>
        </w:rPr>
        <w:t xml:space="preserve"> oraz</w:t>
      </w:r>
      <w:r w:rsidRPr="0078706C">
        <w:rPr>
          <w:rFonts w:ascii="Cambria" w:eastAsia="Times New Roman" w:hAnsi="Cambria" w:cs="Calibri"/>
          <w:lang w:eastAsia="pl-PL"/>
        </w:rPr>
        <w:t xml:space="preserve"> § 13 ust. 2 pkt 16 </w:t>
      </w:r>
      <w:r w:rsidRPr="0078706C">
        <w:rPr>
          <w:rFonts w:ascii="Cambria" w:eastAsia="Times New Roman" w:hAnsi="Cambria" w:cs="Calibri"/>
          <w:i/>
          <w:iCs/>
          <w:lang w:eastAsia="pl-PL"/>
        </w:rPr>
        <w:t>Statutu Akademii Sztuk Pięknych w Warszawie</w:t>
      </w:r>
      <w:r w:rsidRPr="0078706C">
        <w:rPr>
          <w:rFonts w:ascii="Cambria" w:eastAsia="Times New Roman" w:hAnsi="Cambria" w:cs="Calibri"/>
          <w:lang w:eastAsia="pl-PL"/>
        </w:rPr>
        <w:t xml:space="preserve"> postanawia się, co następuje:</w:t>
      </w:r>
    </w:p>
    <w:p w14:paraId="1455E4E4" w14:textId="77777777" w:rsidR="005935E4" w:rsidRPr="0078706C" w:rsidRDefault="005935E4" w:rsidP="005935E4">
      <w:pPr>
        <w:rPr>
          <w:rFonts w:ascii="Cambria" w:eastAsia="Times New Roman" w:hAnsi="Cambria" w:cs="Calibri"/>
          <w:lang w:eastAsia="pl-PL"/>
        </w:rPr>
      </w:pPr>
    </w:p>
    <w:p w14:paraId="3E3AB66D" w14:textId="77ABFED7" w:rsidR="005935E4" w:rsidRPr="0078706C" w:rsidRDefault="005935E4" w:rsidP="005935E4">
      <w:pPr>
        <w:jc w:val="center"/>
        <w:rPr>
          <w:rFonts w:ascii="Cambria" w:eastAsia="Times New Roman" w:hAnsi="Cambria" w:cs="Calibri"/>
          <w:lang w:eastAsia="pl-PL"/>
        </w:rPr>
      </w:pPr>
      <w:r w:rsidRPr="0078706C">
        <w:rPr>
          <w:rFonts w:ascii="Cambria" w:eastAsia="Times New Roman" w:hAnsi="Cambria" w:cs="Calibri"/>
          <w:lang w:eastAsia="pl-PL"/>
        </w:rPr>
        <w:t>§ 1.</w:t>
      </w:r>
    </w:p>
    <w:p w14:paraId="1C5C861A" w14:textId="77777777" w:rsidR="0078706C" w:rsidRPr="0078706C" w:rsidRDefault="0078706C" w:rsidP="005935E4">
      <w:pPr>
        <w:jc w:val="center"/>
        <w:rPr>
          <w:rFonts w:ascii="Cambria" w:eastAsia="Times New Roman" w:hAnsi="Cambria" w:cs="Calibri"/>
          <w:lang w:eastAsia="pl-PL"/>
        </w:rPr>
      </w:pPr>
    </w:p>
    <w:p w14:paraId="6D7544E4" w14:textId="149B2BCE" w:rsidR="005935E4" w:rsidRPr="0078706C" w:rsidRDefault="005935E4" w:rsidP="005935E4">
      <w:pPr>
        <w:jc w:val="both"/>
        <w:rPr>
          <w:rFonts w:ascii="Cambria" w:eastAsia="Times New Roman" w:hAnsi="Cambria" w:cs="Calibri"/>
          <w:lang w:eastAsia="pl-PL"/>
        </w:rPr>
      </w:pPr>
      <w:r w:rsidRPr="0078706C">
        <w:rPr>
          <w:rFonts w:ascii="Cambria" w:eastAsia="Times New Roman" w:hAnsi="Cambria" w:cs="Calibri"/>
          <w:i/>
          <w:lang w:eastAsia="pl-PL"/>
        </w:rPr>
        <w:t>W Regulaminie przeprowadzania postępowań w sprawie nadania stopnia doktora habilitowanego w Akademii Sztuk Pięknych w Warszawie</w:t>
      </w:r>
      <w:r w:rsidRPr="0078706C">
        <w:rPr>
          <w:rFonts w:ascii="Cambria" w:eastAsia="Times New Roman" w:hAnsi="Cambria" w:cs="Calibri"/>
          <w:lang w:eastAsia="pl-PL"/>
        </w:rPr>
        <w:t>, przyjęt</w:t>
      </w:r>
      <w:r w:rsidR="00DD1BD1" w:rsidRPr="0078706C">
        <w:rPr>
          <w:rFonts w:ascii="Cambria" w:eastAsia="Times New Roman" w:hAnsi="Cambria" w:cs="Calibri"/>
          <w:lang w:eastAsia="pl-PL"/>
        </w:rPr>
        <w:t>ym</w:t>
      </w:r>
      <w:r w:rsidRPr="0078706C">
        <w:rPr>
          <w:rFonts w:ascii="Cambria" w:eastAsia="Times New Roman" w:hAnsi="Cambria" w:cs="Calibri"/>
          <w:lang w:eastAsia="pl-PL"/>
        </w:rPr>
        <w:t xml:space="preserve"> Uchwałą Senatu nr 27/2019 w dniu 16.07.2019 r., zmienionym uchwałą nr 23/2020 z dnia 2 czerwca 2020 r. </w:t>
      </w:r>
      <w:r w:rsidR="00DD1BD1" w:rsidRPr="0078706C">
        <w:rPr>
          <w:rFonts w:ascii="Cambria" w:eastAsia="Times New Roman" w:hAnsi="Cambria" w:cs="Calibri"/>
          <w:lang w:eastAsia="pl-PL"/>
        </w:rPr>
        <w:t xml:space="preserve">, </w:t>
      </w:r>
      <w:r w:rsidRPr="0078706C">
        <w:rPr>
          <w:rFonts w:ascii="Cambria" w:eastAsia="Times New Roman" w:hAnsi="Cambria" w:cs="Calibri"/>
          <w:lang w:eastAsia="pl-PL"/>
        </w:rPr>
        <w:t>wprowadza się następujące zmiany:</w:t>
      </w:r>
    </w:p>
    <w:p w14:paraId="46E0E21A" w14:textId="77777777" w:rsidR="005935E4" w:rsidRPr="0078706C" w:rsidRDefault="005935E4" w:rsidP="005935E4">
      <w:pPr>
        <w:jc w:val="both"/>
        <w:rPr>
          <w:rFonts w:ascii="Cambria" w:eastAsia="Times New Roman" w:hAnsi="Cambria" w:cs="Calibri"/>
          <w:lang w:eastAsia="pl-PL"/>
        </w:rPr>
      </w:pPr>
    </w:p>
    <w:p w14:paraId="3C4EE247" w14:textId="76700A19" w:rsidR="005935E4" w:rsidRPr="0078706C" w:rsidRDefault="005935E4" w:rsidP="00B935C8">
      <w:pPr>
        <w:pStyle w:val="Akapitzlist"/>
        <w:numPr>
          <w:ilvl w:val="0"/>
          <w:numId w:val="1"/>
        </w:numPr>
        <w:jc w:val="both"/>
        <w:rPr>
          <w:rFonts w:ascii="Cambria" w:eastAsia="Times New Roman" w:hAnsi="Cambria" w:cs="Calibri"/>
          <w:lang w:eastAsia="pl-PL"/>
        </w:rPr>
      </w:pPr>
      <w:r w:rsidRPr="0078706C">
        <w:rPr>
          <w:rFonts w:ascii="Cambria" w:eastAsia="Times New Roman" w:hAnsi="Cambria" w:cs="Calibri"/>
          <w:lang w:eastAsia="pl-PL"/>
        </w:rPr>
        <w:t>W § 6</w:t>
      </w:r>
      <w:r w:rsidR="00DD1BD1" w:rsidRPr="0078706C">
        <w:rPr>
          <w:rFonts w:ascii="Cambria" w:eastAsia="Times New Roman" w:hAnsi="Cambria" w:cs="Calibri"/>
          <w:lang w:eastAsia="pl-PL"/>
        </w:rPr>
        <w:t xml:space="preserve"> ust. 6</w:t>
      </w:r>
      <w:r w:rsidRPr="0078706C">
        <w:rPr>
          <w:rFonts w:ascii="Cambria" w:eastAsia="Times New Roman" w:hAnsi="Cambria" w:cs="Calibri"/>
          <w:lang w:eastAsia="pl-PL"/>
        </w:rPr>
        <w:t xml:space="preserve"> otrzymuje brzmienie:</w:t>
      </w:r>
    </w:p>
    <w:p w14:paraId="394B87AC" w14:textId="3511B999" w:rsidR="005935E4" w:rsidRPr="0078706C" w:rsidRDefault="00B935C8" w:rsidP="005935E4">
      <w:pPr>
        <w:jc w:val="both"/>
        <w:rPr>
          <w:rFonts w:ascii="Cambria" w:hAnsi="Cambria" w:cs="Arial"/>
          <w:i/>
          <w:iCs/>
          <w:color w:val="000000" w:themeColor="text1"/>
        </w:rPr>
      </w:pPr>
      <w:r w:rsidRPr="0078706C">
        <w:rPr>
          <w:rFonts w:ascii="Cambria" w:hAnsi="Cambria" w:cs="Times New Roman"/>
          <w:i/>
          <w:iCs/>
          <w:color w:val="000000" w:themeColor="text1"/>
        </w:rPr>
        <w:t>„</w:t>
      </w:r>
      <w:r w:rsidR="005935E4" w:rsidRPr="0078706C">
        <w:rPr>
          <w:rFonts w:ascii="Cambria" w:hAnsi="Cambria" w:cs="Times New Roman"/>
          <w:i/>
          <w:iCs/>
          <w:color w:val="000000" w:themeColor="text1"/>
        </w:rPr>
        <w:t>6. Dopuszcza się przeprowadzenie posiedzenia składu orzekającego za pośrednictwem komunikacji elektronicznej, z zachowaniem zasad wymienionych w ust. 5. Posiedzenie odbywa się przy jednoczesnym i bezpośrednim przekazie obraz</w:t>
      </w:r>
      <w:r w:rsidR="00AB1FDB" w:rsidRPr="0078706C">
        <w:rPr>
          <w:rFonts w:ascii="Cambria" w:hAnsi="Cambria" w:cs="Times New Roman"/>
          <w:i/>
          <w:iCs/>
          <w:color w:val="000000" w:themeColor="text1"/>
        </w:rPr>
        <w:t>u i dźwięku na odległość</w:t>
      </w:r>
      <w:r w:rsidR="005935E4" w:rsidRPr="0078706C">
        <w:rPr>
          <w:rFonts w:ascii="Cambria" w:hAnsi="Cambria" w:cs="Times New Roman"/>
          <w:i/>
          <w:iCs/>
          <w:color w:val="000000" w:themeColor="text1"/>
        </w:rPr>
        <w:t xml:space="preserve">. O wyborze trybu posiedzenia składu orzekającego decyduje jego przewodniczący. </w:t>
      </w:r>
      <w:r w:rsidR="005935E4" w:rsidRPr="0078706C">
        <w:rPr>
          <w:rFonts w:ascii="Cambria" w:hAnsi="Cambria" w:cs="Arial"/>
          <w:i/>
          <w:iCs/>
          <w:color w:val="000000" w:themeColor="text1"/>
        </w:rPr>
        <w:t>Dokumentacja z posiedzenia podpisywana jest przez przewodniczącego składu.”</w:t>
      </w:r>
    </w:p>
    <w:p w14:paraId="51C04976" w14:textId="77777777" w:rsidR="009B56F9" w:rsidRPr="0078706C" w:rsidRDefault="009B56F9" w:rsidP="005935E4">
      <w:pPr>
        <w:jc w:val="both"/>
        <w:rPr>
          <w:rFonts w:ascii="Cambria" w:hAnsi="Cambria" w:cs="Arial"/>
          <w:i/>
          <w:iCs/>
          <w:color w:val="000000" w:themeColor="text1"/>
        </w:rPr>
      </w:pPr>
    </w:p>
    <w:p w14:paraId="70D0A249" w14:textId="2A657BE2" w:rsidR="00AB1FDB" w:rsidRPr="0078706C" w:rsidRDefault="00B935C8" w:rsidP="00AB1FDB">
      <w:pPr>
        <w:pStyle w:val="Akapitzlist"/>
        <w:numPr>
          <w:ilvl w:val="0"/>
          <w:numId w:val="1"/>
        </w:numPr>
        <w:jc w:val="both"/>
        <w:rPr>
          <w:rFonts w:ascii="Cambria" w:hAnsi="Cambria" w:cs="Times New Roman"/>
          <w:color w:val="000000" w:themeColor="text1"/>
        </w:rPr>
      </w:pPr>
      <w:r w:rsidRPr="0078706C">
        <w:rPr>
          <w:rFonts w:ascii="Cambria" w:hAnsi="Cambria" w:cs="Times New Roman"/>
          <w:color w:val="000000" w:themeColor="text1"/>
        </w:rPr>
        <w:t>§ 13 otrzymuje brzmienie:</w:t>
      </w:r>
    </w:p>
    <w:p w14:paraId="1801910D" w14:textId="5B7D99AD" w:rsidR="0078706C" w:rsidRDefault="007E3FC3" w:rsidP="00B935C8">
      <w:pPr>
        <w:spacing w:line="276" w:lineRule="auto"/>
        <w:jc w:val="both"/>
        <w:rPr>
          <w:rFonts w:ascii="Cambria" w:hAnsi="Cambria" w:cs="Arial"/>
          <w:i/>
          <w:iCs/>
          <w:color w:val="000000" w:themeColor="text1"/>
        </w:rPr>
      </w:pPr>
      <w:r>
        <w:rPr>
          <w:rFonts w:ascii="Cambria" w:hAnsi="Cambria" w:cs="Arial"/>
          <w:i/>
          <w:iCs/>
          <w:color w:val="000000" w:themeColor="text1"/>
        </w:rPr>
        <w:t xml:space="preserve">„ </w:t>
      </w:r>
      <w:r w:rsidR="00B935C8" w:rsidRPr="0078706C">
        <w:rPr>
          <w:rFonts w:ascii="Cambria" w:hAnsi="Cambria" w:cs="Arial"/>
          <w:i/>
          <w:iCs/>
          <w:color w:val="000000" w:themeColor="text1"/>
        </w:rPr>
        <w:t>1</w:t>
      </w:r>
      <w:r w:rsidR="0078706C">
        <w:rPr>
          <w:rFonts w:ascii="Cambria" w:hAnsi="Cambria" w:cs="Arial"/>
          <w:i/>
          <w:iCs/>
          <w:color w:val="000000" w:themeColor="text1"/>
        </w:rPr>
        <w:t>.</w:t>
      </w:r>
      <w:r w:rsidR="00B935C8" w:rsidRPr="0078706C">
        <w:rPr>
          <w:rFonts w:ascii="Cambria" w:hAnsi="Cambria" w:cs="Arial"/>
          <w:i/>
          <w:iCs/>
          <w:color w:val="000000" w:themeColor="text1"/>
        </w:rPr>
        <w:t xml:space="preserve"> Po sporządzeniu recenzji i ewentualnym przeprowadzeniu kolokwium habilitacyjnego, komisja habilitacyjna podejmuje uchwałę zawierającą opinię w sprawie nadania stopnia doktora habilitowanego. Uchwałę podejmuje się głosowaniu jawnym,</w:t>
      </w:r>
    </w:p>
    <w:p w14:paraId="1B595908" w14:textId="4F40DB72" w:rsidR="00B935C8" w:rsidRPr="0078706C" w:rsidRDefault="00B935C8" w:rsidP="00B935C8">
      <w:pPr>
        <w:spacing w:line="276" w:lineRule="auto"/>
        <w:jc w:val="both"/>
        <w:rPr>
          <w:rFonts w:ascii="Cambria" w:hAnsi="Cambria" w:cs="Arial"/>
          <w:i/>
          <w:iCs/>
          <w:color w:val="000000" w:themeColor="text1"/>
        </w:rPr>
      </w:pPr>
      <w:r w:rsidRPr="0078706C">
        <w:rPr>
          <w:rFonts w:ascii="Cambria" w:hAnsi="Cambria" w:cs="Arial"/>
          <w:i/>
          <w:iCs/>
          <w:color w:val="000000" w:themeColor="text1"/>
        </w:rPr>
        <w:t xml:space="preserve">z zastrzeżeniem ust. 2. </w:t>
      </w:r>
    </w:p>
    <w:p w14:paraId="7A26E1BD" w14:textId="279E906C" w:rsidR="00B935C8" w:rsidRPr="0078706C" w:rsidRDefault="00DD1BD1" w:rsidP="00B935C8">
      <w:pPr>
        <w:spacing w:line="276" w:lineRule="auto"/>
        <w:jc w:val="both"/>
        <w:rPr>
          <w:rFonts w:ascii="Cambria" w:hAnsi="Cambria" w:cs="Arial"/>
          <w:i/>
          <w:iCs/>
          <w:color w:val="000000" w:themeColor="text1"/>
        </w:rPr>
      </w:pPr>
      <w:r w:rsidRPr="0078706C">
        <w:rPr>
          <w:rFonts w:ascii="Cambria" w:hAnsi="Cambria" w:cs="Arial"/>
          <w:i/>
          <w:iCs/>
          <w:color w:val="000000" w:themeColor="text1"/>
        </w:rPr>
        <w:t xml:space="preserve">2. </w:t>
      </w:r>
      <w:r w:rsidR="00B935C8" w:rsidRPr="0078706C">
        <w:rPr>
          <w:rFonts w:ascii="Cambria" w:hAnsi="Cambria" w:cs="Arial"/>
          <w:i/>
          <w:iCs/>
          <w:color w:val="000000" w:themeColor="text1"/>
        </w:rPr>
        <w:t>Na wniosek osoby ubiegającej się o stopień komisja podejmuje uchwałę w głosowaniu tajnym.</w:t>
      </w:r>
    </w:p>
    <w:p w14:paraId="57756145" w14:textId="5BE9EBCD" w:rsidR="00B935C8" w:rsidRPr="0078706C" w:rsidRDefault="00DD1BD1" w:rsidP="009B56F9">
      <w:pPr>
        <w:spacing w:line="276" w:lineRule="auto"/>
        <w:jc w:val="both"/>
        <w:rPr>
          <w:rFonts w:ascii="Cambria" w:hAnsi="Cambria" w:cs="Arial"/>
          <w:i/>
          <w:iCs/>
          <w:color w:val="000000" w:themeColor="text1"/>
        </w:rPr>
      </w:pPr>
      <w:r w:rsidRPr="0078706C">
        <w:rPr>
          <w:rFonts w:ascii="Cambria" w:hAnsi="Cambria" w:cs="Arial"/>
          <w:i/>
          <w:iCs/>
          <w:color w:val="000000" w:themeColor="text1"/>
        </w:rPr>
        <w:t>3</w:t>
      </w:r>
      <w:r w:rsidR="00B935C8" w:rsidRPr="0078706C">
        <w:rPr>
          <w:rFonts w:ascii="Cambria" w:hAnsi="Cambria" w:cs="Arial"/>
          <w:i/>
          <w:iCs/>
          <w:color w:val="000000" w:themeColor="text1"/>
        </w:rPr>
        <w:t>.</w:t>
      </w:r>
      <w:r w:rsidR="009B56F9" w:rsidRPr="0078706C">
        <w:rPr>
          <w:rFonts w:ascii="Cambria" w:hAnsi="Cambria" w:cs="Arial"/>
          <w:i/>
          <w:iCs/>
          <w:color w:val="000000" w:themeColor="text1"/>
        </w:rPr>
        <w:t xml:space="preserve"> </w:t>
      </w:r>
      <w:r w:rsidR="00B935C8" w:rsidRPr="0078706C">
        <w:rPr>
          <w:rFonts w:ascii="Cambria" w:hAnsi="Cambria" w:cs="Arial"/>
          <w:i/>
          <w:iCs/>
          <w:color w:val="000000" w:themeColor="text1"/>
        </w:rPr>
        <w:t>Komisja habilitacyjna obraduje w co najmniej sześcioosobowym składzie przy bezwzględnej obecności przewodniczącego i sekretarza.</w:t>
      </w:r>
    </w:p>
    <w:p w14:paraId="4D218223" w14:textId="27EEABA0" w:rsidR="00B935C8" w:rsidRPr="0078706C" w:rsidRDefault="00DD1BD1" w:rsidP="009B56F9">
      <w:pPr>
        <w:spacing w:line="276" w:lineRule="auto"/>
        <w:jc w:val="both"/>
        <w:rPr>
          <w:rFonts w:ascii="Cambria" w:hAnsi="Cambria" w:cs="Arial"/>
          <w:i/>
          <w:iCs/>
          <w:color w:val="000000" w:themeColor="text1"/>
        </w:rPr>
      </w:pPr>
      <w:r w:rsidRPr="0078706C">
        <w:rPr>
          <w:rFonts w:ascii="Cambria" w:hAnsi="Cambria" w:cs="Arial"/>
          <w:i/>
          <w:iCs/>
          <w:color w:val="000000" w:themeColor="text1"/>
        </w:rPr>
        <w:t>4</w:t>
      </w:r>
      <w:r w:rsidR="00B935C8" w:rsidRPr="0078706C">
        <w:rPr>
          <w:rFonts w:ascii="Cambria" w:hAnsi="Cambria" w:cs="Arial"/>
          <w:i/>
          <w:iCs/>
          <w:color w:val="000000" w:themeColor="text1"/>
        </w:rPr>
        <w:t xml:space="preserve">. Dopuszcza się przeprowadzenie posiedzenia komisji habilitacyjnej za pośrednictwem komunikacji elektronicznej, z zachowaniem zasad wymienionych w ust. 1. Posiedzenie odbywa się przy jednoczesnym i bezpośrednim przekazie obrazu i dźwięku na odległość. </w:t>
      </w:r>
    </w:p>
    <w:p w14:paraId="198A4C0A" w14:textId="4A5D8861" w:rsidR="00B935C8" w:rsidRPr="0078706C" w:rsidRDefault="00B935C8" w:rsidP="009B56F9">
      <w:pPr>
        <w:pStyle w:val="Akapitzlist"/>
        <w:spacing w:line="276" w:lineRule="auto"/>
        <w:ind w:left="0"/>
        <w:jc w:val="both"/>
        <w:rPr>
          <w:rFonts w:ascii="Cambria" w:hAnsi="Cambria" w:cs="Arial"/>
          <w:i/>
          <w:iCs/>
          <w:color w:val="000000" w:themeColor="text1"/>
        </w:rPr>
      </w:pPr>
      <w:r w:rsidRPr="0078706C">
        <w:rPr>
          <w:rFonts w:ascii="Cambria" w:hAnsi="Cambria" w:cs="Arial"/>
          <w:i/>
          <w:iCs/>
          <w:color w:val="000000" w:themeColor="text1"/>
        </w:rPr>
        <w:t>O wyborze trybu posiedzenia komisji habilitacyjnej decyduje jej przewodniczący. Dokumentacja z</w:t>
      </w:r>
      <w:r w:rsidR="00DD1BD1" w:rsidRPr="0078706C">
        <w:rPr>
          <w:rFonts w:ascii="Cambria" w:hAnsi="Cambria" w:cs="Arial"/>
          <w:i/>
          <w:iCs/>
          <w:color w:val="000000" w:themeColor="text1"/>
        </w:rPr>
        <w:t> </w:t>
      </w:r>
      <w:r w:rsidRPr="0078706C">
        <w:rPr>
          <w:rFonts w:ascii="Cambria" w:hAnsi="Cambria" w:cs="Arial"/>
          <w:i/>
          <w:iCs/>
          <w:color w:val="000000" w:themeColor="text1"/>
        </w:rPr>
        <w:t>posiedzenia</w:t>
      </w:r>
      <w:r w:rsidR="009B56F9" w:rsidRPr="0078706C">
        <w:rPr>
          <w:rFonts w:ascii="Cambria" w:hAnsi="Cambria" w:cs="Arial"/>
          <w:i/>
          <w:iCs/>
          <w:color w:val="000000" w:themeColor="text1"/>
        </w:rPr>
        <w:t xml:space="preserve"> podpisywana </w:t>
      </w:r>
      <w:r w:rsidRPr="0078706C">
        <w:rPr>
          <w:rFonts w:ascii="Cambria" w:hAnsi="Cambria" w:cs="Arial"/>
          <w:i/>
          <w:iCs/>
          <w:color w:val="000000" w:themeColor="text1"/>
        </w:rPr>
        <w:t>jest przez przewodniczącego komisji.</w:t>
      </w:r>
    </w:p>
    <w:p w14:paraId="6993CE82" w14:textId="08D0CA2B" w:rsidR="00B935C8" w:rsidRPr="0078706C" w:rsidRDefault="00B935C8" w:rsidP="009B56F9">
      <w:pPr>
        <w:spacing w:line="276" w:lineRule="auto"/>
        <w:jc w:val="both"/>
        <w:rPr>
          <w:rFonts w:ascii="Cambria" w:hAnsi="Cambria" w:cs="Arial"/>
          <w:i/>
          <w:iCs/>
          <w:color w:val="000000" w:themeColor="text1"/>
        </w:rPr>
      </w:pPr>
      <w:r w:rsidRPr="0078706C">
        <w:rPr>
          <w:rFonts w:ascii="Cambria" w:hAnsi="Cambria" w:cs="Arial"/>
          <w:i/>
          <w:iCs/>
          <w:color w:val="000000" w:themeColor="text1"/>
        </w:rPr>
        <w:t>5. Opinia komisji habilitacyjnej nie może być pozytywna, jeżeli więcej niż jedna recenzja jest negatywna.</w:t>
      </w:r>
    </w:p>
    <w:p w14:paraId="66C37884" w14:textId="77777777" w:rsidR="0078706C" w:rsidRDefault="00B935C8" w:rsidP="009B56F9">
      <w:pPr>
        <w:spacing w:line="276" w:lineRule="auto"/>
        <w:jc w:val="both"/>
        <w:rPr>
          <w:rFonts w:ascii="Cambria" w:hAnsi="Cambria" w:cs="Arial"/>
          <w:i/>
          <w:iCs/>
          <w:color w:val="000000" w:themeColor="text1"/>
        </w:rPr>
      </w:pPr>
      <w:r w:rsidRPr="0078706C">
        <w:rPr>
          <w:rFonts w:ascii="Cambria" w:hAnsi="Cambria" w:cs="Arial"/>
          <w:i/>
          <w:iCs/>
          <w:color w:val="000000" w:themeColor="text1"/>
        </w:rPr>
        <w:t xml:space="preserve">6. Komisja habilitacyjna w terminie sześciu tygodni od dnia otrzymania recenzji przekazuje składowi orzekającemu uchwałę, o której mowa w ust. 1, wraz z uzasadnieniem </w:t>
      </w:r>
    </w:p>
    <w:p w14:paraId="666637E0" w14:textId="062F7C62" w:rsidR="00B935C8" w:rsidRPr="0078706C" w:rsidRDefault="00B935C8" w:rsidP="009B56F9">
      <w:pPr>
        <w:spacing w:line="276" w:lineRule="auto"/>
        <w:jc w:val="both"/>
        <w:rPr>
          <w:rFonts w:ascii="Cambria" w:hAnsi="Cambria" w:cs="Arial"/>
          <w:i/>
          <w:iCs/>
          <w:color w:val="000000" w:themeColor="text1"/>
        </w:rPr>
      </w:pPr>
      <w:r w:rsidRPr="0078706C">
        <w:rPr>
          <w:rFonts w:ascii="Cambria" w:hAnsi="Cambria" w:cs="Arial"/>
          <w:i/>
          <w:iCs/>
          <w:color w:val="000000" w:themeColor="text1"/>
        </w:rPr>
        <w:t>i dokumentacją postępowania w sprawie nadania stopnia doktora habilitowanego.</w:t>
      </w:r>
      <w:r w:rsidR="00AB1FDB" w:rsidRPr="0078706C">
        <w:rPr>
          <w:rFonts w:ascii="Cambria" w:hAnsi="Cambria" w:cs="Arial"/>
          <w:i/>
          <w:iCs/>
          <w:color w:val="000000" w:themeColor="text1"/>
        </w:rPr>
        <w:t>”</w:t>
      </w:r>
    </w:p>
    <w:p w14:paraId="541C017F" w14:textId="77777777" w:rsidR="00AB1FDB" w:rsidRPr="0078706C" w:rsidRDefault="00AB1FDB" w:rsidP="009B56F9">
      <w:pPr>
        <w:spacing w:line="276" w:lineRule="auto"/>
        <w:jc w:val="both"/>
        <w:rPr>
          <w:rFonts w:ascii="Cambria" w:hAnsi="Cambria" w:cs="Arial"/>
          <w:i/>
          <w:iCs/>
          <w:color w:val="000000" w:themeColor="text1"/>
        </w:rPr>
      </w:pPr>
    </w:p>
    <w:p w14:paraId="0CB644C8" w14:textId="25CE871E" w:rsidR="00AB1FDB" w:rsidRPr="0078706C" w:rsidRDefault="00AB1FDB" w:rsidP="00AB1FDB">
      <w:pPr>
        <w:pStyle w:val="Akapitzlist"/>
        <w:numPr>
          <w:ilvl w:val="0"/>
          <w:numId w:val="1"/>
        </w:numPr>
        <w:jc w:val="both"/>
        <w:rPr>
          <w:rFonts w:ascii="Cambria" w:eastAsia="Times New Roman" w:hAnsi="Cambria" w:cs="Calibri"/>
          <w:color w:val="000000" w:themeColor="text1"/>
          <w:lang w:eastAsia="pl-PL"/>
        </w:rPr>
      </w:pPr>
      <w:r w:rsidRPr="0078706C">
        <w:rPr>
          <w:rFonts w:ascii="Cambria" w:eastAsia="Times New Roman" w:hAnsi="Cambria" w:cs="Calibri"/>
          <w:color w:val="000000" w:themeColor="text1"/>
          <w:lang w:eastAsia="pl-PL"/>
        </w:rPr>
        <w:t>W § 14 ust. 2 otrzymuje brzmienie:</w:t>
      </w:r>
    </w:p>
    <w:p w14:paraId="1D5F9CBE" w14:textId="0F8144FD" w:rsidR="00E91445" w:rsidRPr="0078706C" w:rsidRDefault="00E91445" w:rsidP="00E91445">
      <w:pPr>
        <w:spacing w:line="276" w:lineRule="auto"/>
        <w:jc w:val="both"/>
        <w:rPr>
          <w:rFonts w:ascii="Cambria" w:hAnsi="Cambria" w:cs="Arial"/>
          <w:i/>
          <w:iCs/>
          <w:color w:val="000000" w:themeColor="text1"/>
        </w:rPr>
      </w:pPr>
      <w:r w:rsidRPr="0078706C">
        <w:rPr>
          <w:rFonts w:ascii="Cambria" w:hAnsi="Cambria" w:cs="Arial"/>
          <w:i/>
          <w:iCs/>
          <w:color w:val="000000" w:themeColor="text1"/>
        </w:rPr>
        <w:t>„</w:t>
      </w:r>
      <w:r w:rsidR="000E49CD" w:rsidRPr="0078706C">
        <w:rPr>
          <w:rFonts w:ascii="Cambria" w:hAnsi="Cambria" w:cs="Arial"/>
          <w:i/>
          <w:iCs/>
          <w:color w:val="000000" w:themeColor="text1"/>
        </w:rPr>
        <w:t>2.</w:t>
      </w:r>
      <w:r w:rsidR="0040015A" w:rsidRPr="0078706C">
        <w:rPr>
          <w:rFonts w:ascii="Cambria" w:hAnsi="Cambria" w:cs="Arial"/>
          <w:i/>
          <w:iCs/>
          <w:color w:val="000000" w:themeColor="text1"/>
        </w:rPr>
        <w:t xml:space="preserve"> </w:t>
      </w:r>
      <w:r w:rsidRPr="0078706C">
        <w:rPr>
          <w:rFonts w:ascii="Cambria" w:hAnsi="Cambria" w:cs="Arial"/>
          <w:i/>
          <w:iCs/>
          <w:color w:val="000000" w:themeColor="text1"/>
        </w:rPr>
        <w:t>Głosowanie w sprawie, o której mowa w ust. 1, może poprzedzić dyskusja z udziałem habilitanta. W dyskusji mogą wziąć udział zaproszeni członkowie komisji habilitacyjnej, którzy mają głos doradczy, chyba że są członkami składu orzekającego wyznaczonego to tego postępowania. Zaproszenie na posiedzenie składu orzekającego przesyła się co najmniej na 7 dni przed planowanym terminem tego posiedzenia.”.</w:t>
      </w:r>
    </w:p>
    <w:p w14:paraId="21A0AF12" w14:textId="77777777" w:rsidR="005935E4" w:rsidRPr="0078706C" w:rsidRDefault="005935E4" w:rsidP="005935E4">
      <w:pPr>
        <w:jc w:val="center"/>
        <w:rPr>
          <w:rFonts w:ascii="Cambria" w:eastAsia="Times New Roman" w:hAnsi="Cambria" w:cs="Calibri"/>
          <w:lang w:eastAsia="pl-PL"/>
        </w:rPr>
      </w:pPr>
    </w:p>
    <w:p w14:paraId="2C691A5C" w14:textId="24916100" w:rsidR="005935E4" w:rsidRPr="0078706C" w:rsidRDefault="005935E4" w:rsidP="005935E4">
      <w:pPr>
        <w:jc w:val="center"/>
        <w:rPr>
          <w:rFonts w:ascii="Cambria" w:eastAsia="Times New Roman" w:hAnsi="Cambria" w:cs="Calibri"/>
          <w:lang w:eastAsia="pl-PL"/>
        </w:rPr>
      </w:pPr>
      <w:r w:rsidRPr="0078706C">
        <w:rPr>
          <w:rFonts w:ascii="Cambria" w:eastAsia="Times New Roman" w:hAnsi="Cambria" w:cs="Calibri"/>
          <w:lang w:eastAsia="pl-PL"/>
        </w:rPr>
        <w:t>§ 2.</w:t>
      </w:r>
    </w:p>
    <w:p w14:paraId="7842F066" w14:textId="77777777" w:rsidR="0078706C" w:rsidRPr="0078706C" w:rsidRDefault="0078706C" w:rsidP="005935E4">
      <w:pPr>
        <w:jc w:val="center"/>
        <w:rPr>
          <w:rFonts w:ascii="Cambria" w:eastAsia="Times New Roman" w:hAnsi="Cambria" w:cs="Calibri"/>
          <w:lang w:eastAsia="pl-PL"/>
        </w:rPr>
      </w:pPr>
    </w:p>
    <w:p w14:paraId="57250693" w14:textId="27881C32" w:rsidR="005935E4" w:rsidRPr="0078706C" w:rsidRDefault="005935E4" w:rsidP="005935E4">
      <w:pPr>
        <w:jc w:val="both"/>
        <w:rPr>
          <w:rFonts w:ascii="Cambria" w:eastAsia="Times New Roman" w:hAnsi="Cambria" w:cs="Calibri"/>
          <w:iCs/>
          <w:lang w:eastAsia="pl-PL"/>
        </w:rPr>
      </w:pPr>
      <w:r w:rsidRPr="0078706C">
        <w:rPr>
          <w:rFonts w:ascii="Cambria" w:eastAsia="Times New Roman" w:hAnsi="Cambria" w:cs="Calibri"/>
          <w:lang w:eastAsia="pl-PL"/>
        </w:rPr>
        <w:t xml:space="preserve">Tekst jednolity </w:t>
      </w:r>
      <w:r w:rsidRPr="0078706C">
        <w:rPr>
          <w:rFonts w:ascii="Cambria" w:eastAsia="Times New Roman" w:hAnsi="Cambria" w:cs="Calibri"/>
          <w:i/>
          <w:lang w:eastAsia="pl-PL"/>
        </w:rPr>
        <w:t>Regulaminu przeprowadzania postępowań w sprawie nadania</w:t>
      </w:r>
      <w:r w:rsidR="0078706C" w:rsidRPr="0078706C">
        <w:rPr>
          <w:rFonts w:ascii="Cambria" w:eastAsia="Times New Roman" w:hAnsi="Cambria" w:cs="Calibri"/>
          <w:i/>
          <w:lang w:eastAsia="pl-PL"/>
        </w:rPr>
        <w:t xml:space="preserve"> stopnia doktora habilitowanego </w:t>
      </w:r>
      <w:r w:rsidRPr="0078706C">
        <w:rPr>
          <w:rFonts w:ascii="Cambria" w:eastAsia="Times New Roman" w:hAnsi="Cambria" w:cs="Calibri"/>
          <w:i/>
          <w:lang w:eastAsia="pl-PL"/>
        </w:rPr>
        <w:t xml:space="preserve">w Akademii Sztuk Pięknych w Warszawie </w:t>
      </w:r>
      <w:r w:rsidRPr="0078706C">
        <w:rPr>
          <w:rFonts w:ascii="Cambria" w:eastAsia="Times New Roman" w:hAnsi="Cambria" w:cs="Calibri"/>
          <w:iCs/>
          <w:lang w:eastAsia="pl-PL"/>
        </w:rPr>
        <w:t>jest załącznikiem do</w:t>
      </w:r>
      <w:r w:rsidR="00FD067D" w:rsidRPr="0078706C">
        <w:rPr>
          <w:rFonts w:ascii="Cambria" w:eastAsia="Times New Roman" w:hAnsi="Cambria" w:cs="Calibri"/>
          <w:iCs/>
          <w:lang w:eastAsia="pl-PL"/>
        </w:rPr>
        <w:t> </w:t>
      </w:r>
      <w:r w:rsidRPr="0078706C">
        <w:rPr>
          <w:rFonts w:ascii="Cambria" w:eastAsia="Times New Roman" w:hAnsi="Cambria" w:cs="Calibri"/>
          <w:iCs/>
          <w:lang w:eastAsia="pl-PL"/>
        </w:rPr>
        <w:t xml:space="preserve">uchwały. </w:t>
      </w:r>
    </w:p>
    <w:p w14:paraId="427A165C" w14:textId="77777777" w:rsidR="005935E4" w:rsidRPr="0078706C" w:rsidRDefault="005935E4" w:rsidP="005935E4">
      <w:pPr>
        <w:rPr>
          <w:rFonts w:ascii="Cambria" w:eastAsia="Times New Roman" w:hAnsi="Cambria" w:cs="Calibri"/>
          <w:iCs/>
          <w:lang w:eastAsia="pl-PL"/>
        </w:rPr>
      </w:pPr>
    </w:p>
    <w:p w14:paraId="60B8A2E8" w14:textId="3B0D6A1F" w:rsidR="005935E4" w:rsidRPr="0078706C" w:rsidRDefault="005935E4" w:rsidP="005935E4">
      <w:pPr>
        <w:jc w:val="center"/>
        <w:rPr>
          <w:rFonts w:ascii="Cambria" w:hAnsi="Cambria" w:cs="Calibri"/>
        </w:rPr>
      </w:pPr>
      <w:r w:rsidRPr="0078706C">
        <w:rPr>
          <w:rFonts w:ascii="Cambria" w:hAnsi="Cambria" w:cs="Calibri"/>
        </w:rPr>
        <w:t>§ 3.</w:t>
      </w:r>
    </w:p>
    <w:p w14:paraId="0CAD04DA" w14:textId="77777777" w:rsidR="0078706C" w:rsidRPr="0078706C" w:rsidRDefault="0078706C" w:rsidP="005935E4">
      <w:pPr>
        <w:jc w:val="center"/>
        <w:rPr>
          <w:rFonts w:ascii="Cambria" w:hAnsi="Cambria" w:cs="Calibri"/>
        </w:rPr>
      </w:pPr>
    </w:p>
    <w:p w14:paraId="0C36B451" w14:textId="77777777" w:rsidR="00FD067D" w:rsidRPr="0078706C" w:rsidRDefault="00FD067D" w:rsidP="00FD067D">
      <w:pPr>
        <w:jc w:val="both"/>
        <w:rPr>
          <w:rFonts w:ascii="Cambria" w:hAnsi="Cambria"/>
          <w:i/>
          <w:iCs/>
        </w:rPr>
      </w:pPr>
      <w:r w:rsidRPr="0078706C">
        <w:rPr>
          <w:rFonts w:ascii="Cambria" w:hAnsi="Cambria"/>
        </w:rPr>
        <w:t xml:space="preserve">Uchwała została podjęta za pośrednictwem komunikacji elektronicznej w głosowaniu tajnym w systemie </w:t>
      </w:r>
      <w:proofErr w:type="spellStart"/>
      <w:r w:rsidRPr="0078706C">
        <w:rPr>
          <w:rFonts w:ascii="Cambria" w:hAnsi="Cambria"/>
          <w:i/>
          <w:iCs/>
        </w:rPr>
        <w:t>Akademus</w:t>
      </w:r>
      <w:proofErr w:type="spellEnd"/>
      <w:r w:rsidRPr="0078706C">
        <w:rPr>
          <w:rFonts w:ascii="Cambria" w:hAnsi="Cambria"/>
          <w:i/>
          <w:iCs/>
        </w:rPr>
        <w:t>.</w:t>
      </w:r>
    </w:p>
    <w:p w14:paraId="2FE3BB13" w14:textId="29B04937" w:rsidR="005935E4" w:rsidRPr="0078706C" w:rsidRDefault="005935E4" w:rsidP="005935E4">
      <w:pPr>
        <w:tabs>
          <w:tab w:val="left" w:pos="7425"/>
        </w:tabs>
        <w:rPr>
          <w:rFonts w:ascii="Cambria" w:hAnsi="Cambria" w:cs="Calibri"/>
        </w:rPr>
      </w:pPr>
    </w:p>
    <w:p w14:paraId="4E8C9E5E" w14:textId="03C03B40" w:rsidR="005935E4" w:rsidRPr="0078706C" w:rsidRDefault="005935E4" w:rsidP="005935E4">
      <w:pPr>
        <w:jc w:val="center"/>
        <w:rPr>
          <w:rFonts w:ascii="Cambria" w:hAnsi="Cambria" w:cs="Calibri"/>
        </w:rPr>
      </w:pPr>
      <w:r w:rsidRPr="0078706C">
        <w:rPr>
          <w:rFonts w:ascii="Cambria" w:hAnsi="Cambria" w:cs="Calibri"/>
        </w:rPr>
        <w:t>§ 4.</w:t>
      </w:r>
    </w:p>
    <w:p w14:paraId="00ADBB61" w14:textId="77777777" w:rsidR="0078706C" w:rsidRPr="0078706C" w:rsidRDefault="0078706C" w:rsidP="005935E4">
      <w:pPr>
        <w:jc w:val="center"/>
        <w:rPr>
          <w:rFonts w:ascii="Cambria" w:hAnsi="Cambria" w:cs="Calibri"/>
        </w:rPr>
      </w:pPr>
    </w:p>
    <w:p w14:paraId="03A46D85" w14:textId="649FCDA6" w:rsidR="005935E4" w:rsidRPr="0078706C" w:rsidRDefault="005935E4" w:rsidP="005935E4">
      <w:pPr>
        <w:rPr>
          <w:rFonts w:ascii="Cambria" w:hAnsi="Cambria" w:cs="Calibri"/>
        </w:rPr>
      </w:pPr>
      <w:r w:rsidRPr="0078706C">
        <w:rPr>
          <w:rFonts w:ascii="Cambria" w:hAnsi="Cambria" w:cs="Calibri"/>
        </w:rPr>
        <w:t>Uchwała wchodzi w życie z dniem podjęcia.</w:t>
      </w:r>
    </w:p>
    <w:p w14:paraId="61A14AD2" w14:textId="77777777" w:rsidR="0078706C" w:rsidRPr="0078706C" w:rsidRDefault="0078706C" w:rsidP="005935E4">
      <w:pPr>
        <w:rPr>
          <w:rFonts w:ascii="Cambria" w:hAnsi="Cambria" w:cs="Calibri"/>
        </w:rPr>
      </w:pPr>
    </w:p>
    <w:p w14:paraId="560A33F9" w14:textId="77777777" w:rsidR="005935E4" w:rsidRPr="0078706C" w:rsidRDefault="005935E4" w:rsidP="005935E4">
      <w:pPr>
        <w:rPr>
          <w:rFonts w:ascii="Cambria" w:hAnsi="Cambria" w:cs="Calibri"/>
        </w:rPr>
      </w:pPr>
    </w:p>
    <w:p w14:paraId="6078BB2F" w14:textId="77777777" w:rsidR="005935E4" w:rsidRPr="0078706C" w:rsidRDefault="005935E4" w:rsidP="005935E4">
      <w:pPr>
        <w:rPr>
          <w:rFonts w:ascii="Cambria" w:hAnsi="Cambria" w:cs="Calibri"/>
        </w:rPr>
      </w:pPr>
    </w:p>
    <w:p w14:paraId="12B1F137" w14:textId="77777777" w:rsidR="005935E4" w:rsidRPr="0078706C" w:rsidRDefault="005935E4" w:rsidP="005935E4">
      <w:pPr>
        <w:rPr>
          <w:rFonts w:ascii="Cambria" w:hAnsi="Cambria" w:cs="Calibri"/>
        </w:rPr>
      </w:pPr>
    </w:p>
    <w:p w14:paraId="4F7F771D" w14:textId="77777777" w:rsidR="005935E4" w:rsidRPr="0078706C" w:rsidRDefault="005935E4" w:rsidP="005935E4">
      <w:pPr>
        <w:rPr>
          <w:rFonts w:ascii="Cambria" w:hAnsi="Cambria" w:cs="Calibri"/>
        </w:rPr>
      </w:pPr>
    </w:p>
    <w:p w14:paraId="68096CD9" w14:textId="77777777" w:rsidR="005935E4" w:rsidRPr="0078706C" w:rsidRDefault="005935E4" w:rsidP="005935E4">
      <w:pPr>
        <w:rPr>
          <w:rFonts w:ascii="Cambria" w:hAnsi="Cambria" w:cs="Calibri"/>
        </w:rPr>
      </w:pPr>
    </w:p>
    <w:p w14:paraId="4CA1AE74" w14:textId="0330CA17" w:rsidR="005935E4" w:rsidRPr="0078706C" w:rsidRDefault="005935E4" w:rsidP="00DD1BD1">
      <w:pPr>
        <w:tabs>
          <w:tab w:val="left" w:pos="5103"/>
          <w:tab w:val="left" w:pos="5529"/>
        </w:tabs>
        <w:rPr>
          <w:rFonts w:ascii="Cambria" w:hAnsi="Cambria" w:cs="Calibri"/>
        </w:rPr>
      </w:pPr>
      <w:r w:rsidRPr="0078706C">
        <w:rPr>
          <w:rFonts w:ascii="Cambria" w:hAnsi="Cambria" w:cs="Calibri"/>
        </w:rPr>
        <w:tab/>
      </w:r>
      <w:r w:rsidRPr="0078706C">
        <w:rPr>
          <w:rFonts w:ascii="Cambria" w:hAnsi="Cambria" w:cs="Calibri"/>
        </w:rPr>
        <w:tab/>
      </w:r>
      <w:r w:rsidRPr="0078706C">
        <w:rPr>
          <w:rFonts w:ascii="Cambria" w:hAnsi="Cambria" w:cs="Calibri"/>
        </w:rPr>
        <w:tab/>
      </w:r>
      <w:r w:rsidRPr="0078706C">
        <w:rPr>
          <w:rFonts w:ascii="Cambria" w:hAnsi="Cambria" w:cs="Calibri"/>
        </w:rPr>
        <w:tab/>
      </w:r>
      <w:r w:rsidRPr="0078706C">
        <w:rPr>
          <w:rFonts w:ascii="Cambria" w:hAnsi="Cambria" w:cs="Calibri"/>
        </w:rPr>
        <w:tab/>
      </w:r>
      <w:r w:rsidRPr="0078706C">
        <w:rPr>
          <w:rFonts w:ascii="Cambria" w:hAnsi="Cambria" w:cs="Calibri"/>
        </w:rPr>
        <w:tab/>
      </w:r>
      <w:r w:rsidRPr="0078706C">
        <w:rPr>
          <w:rFonts w:ascii="Cambria" w:hAnsi="Cambria" w:cs="Calibri"/>
        </w:rPr>
        <w:tab/>
      </w:r>
      <w:r w:rsidR="00DD1BD1" w:rsidRPr="0078706C">
        <w:rPr>
          <w:rFonts w:ascii="Cambria" w:hAnsi="Cambria" w:cs="Calibri"/>
        </w:rPr>
        <w:tab/>
      </w:r>
      <w:r w:rsidRPr="0078706C">
        <w:rPr>
          <w:rFonts w:ascii="Cambria" w:hAnsi="Cambria"/>
        </w:rPr>
        <w:t xml:space="preserve">Przewodniczący </w:t>
      </w:r>
    </w:p>
    <w:p w14:paraId="71AE6803" w14:textId="38FDC05A" w:rsidR="005935E4" w:rsidRPr="0078706C" w:rsidRDefault="00DD1BD1" w:rsidP="00DD1BD1">
      <w:pPr>
        <w:tabs>
          <w:tab w:val="left" w:pos="4962"/>
          <w:tab w:val="left" w:pos="5103"/>
          <w:tab w:val="left" w:pos="5245"/>
        </w:tabs>
        <w:rPr>
          <w:rFonts w:ascii="Cambria" w:hAnsi="Cambria"/>
        </w:rPr>
      </w:pPr>
      <w:r w:rsidRPr="0078706C">
        <w:rPr>
          <w:rFonts w:ascii="Cambria" w:hAnsi="Cambria"/>
        </w:rPr>
        <w:tab/>
      </w:r>
      <w:r w:rsidRPr="0078706C">
        <w:rPr>
          <w:rFonts w:ascii="Cambria" w:hAnsi="Cambria"/>
        </w:rPr>
        <w:tab/>
      </w:r>
      <w:r w:rsidR="005935E4" w:rsidRPr="0078706C">
        <w:rPr>
          <w:rFonts w:ascii="Cambria" w:hAnsi="Cambria"/>
        </w:rPr>
        <w:t>Senatu ASP w Warszawie</w:t>
      </w:r>
    </w:p>
    <w:p w14:paraId="4AD92D0E" w14:textId="77777777" w:rsidR="005935E4" w:rsidRPr="0078706C" w:rsidRDefault="005935E4" w:rsidP="005935E4">
      <w:pPr>
        <w:ind w:left="4536"/>
        <w:jc w:val="center"/>
        <w:rPr>
          <w:rFonts w:ascii="Cambria" w:hAnsi="Cambria"/>
        </w:rPr>
      </w:pPr>
    </w:p>
    <w:p w14:paraId="08A25692" w14:textId="77777777" w:rsidR="005935E4" w:rsidRPr="0078706C" w:rsidRDefault="005935E4" w:rsidP="005935E4">
      <w:pPr>
        <w:ind w:left="4536"/>
        <w:jc w:val="center"/>
        <w:rPr>
          <w:rFonts w:ascii="Cambria" w:hAnsi="Cambria"/>
        </w:rPr>
      </w:pPr>
    </w:p>
    <w:p w14:paraId="6131DF6E" w14:textId="7A7F5D72" w:rsidR="005935E4" w:rsidRPr="0078706C" w:rsidRDefault="00DD1BD1" w:rsidP="00DD1BD1">
      <w:pPr>
        <w:tabs>
          <w:tab w:val="center" w:pos="6804"/>
        </w:tabs>
        <w:rPr>
          <w:rFonts w:ascii="Cambria" w:hAnsi="Cambria"/>
        </w:rPr>
      </w:pPr>
      <w:r w:rsidRPr="0078706C">
        <w:rPr>
          <w:rFonts w:ascii="Cambria" w:hAnsi="Cambria"/>
        </w:rPr>
        <w:tab/>
      </w:r>
      <w:r w:rsidR="005935E4" w:rsidRPr="0078706C">
        <w:rPr>
          <w:rFonts w:ascii="Cambria" w:hAnsi="Cambria"/>
        </w:rPr>
        <w:t xml:space="preserve">Rektor </w:t>
      </w:r>
      <w:r w:rsidR="009B56F9" w:rsidRPr="0078706C">
        <w:rPr>
          <w:rFonts w:ascii="Cambria" w:hAnsi="Cambria"/>
        </w:rPr>
        <w:t xml:space="preserve">prof. Błażej Ostoja </w:t>
      </w:r>
      <w:proofErr w:type="spellStart"/>
      <w:r w:rsidR="009B56F9" w:rsidRPr="0078706C">
        <w:rPr>
          <w:rFonts w:ascii="Cambria" w:hAnsi="Cambria"/>
        </w:rPr>
        <w:t>Lniski</w:t>
      </w:r>
      <w:proofErr w:type="spellEnd"/>
    </w:p>
    <w:p w14:paraId="51555C05" w14:textId="77777777" w:rsidR="005935E4" w:rsidRPr="00B223C0" w:rsidRDefault="005935E4" w:rsidP="005935E4">
      <w:pPr>
        <w:rPr>
          <w:rFonts w:ascii="Cambria" w:hAnsi="Cambria" w:cs="Calibri"/>
          <w:color w:val="002060"/>
        </w:rPr>
      </w:pPr>
    </w:p>
    <w:p w14:paraId="7D239A76" w14:textId="77777777" w:rsidR="001D4CED" w:rsidRDefault="001D4CED"/>
    <w:sectPr w:rsidR="001D4CED" w:rsidSect="00C26B76">
      <w:pgSz w:w="11900" w:h="16840"/>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912AE"/>
    <w:multiLevelType w:val="hybridMultilevel"/>
    <w:tmpl w:val="FF1C8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55B317B"/>
    <w:multiLevelType w:val="hybridMultilevel"/>
    <w:tmpl w:val="CDBC5EAC"/>
    <w:lvl w:ilvl="0" w:tplc="132614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95940E5"/>
    <w:multiLevelType w:val="hybridMultilevel"/>
    <w:tmpl w:val="435A3A14"/>
    <w:lvl w:ilvl="0" w:tplc="D1149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A9B647D"/>
    <w:multiLevelType w:val="hybridMultilevel"/>
    <w:tmpl w:val="6728D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5E4"/>
    <w:rsid w:val="000E49CD"/>
    <w:rsid w:val="001D4CED"/>
    <w:rsid w:val="0040015A"/>
    <w:rsid w:val="00453BCD"/>
    <w:rsid w:val="004E4613"/>
    <w:rsid w:val="005935E4"/>
    <w:rsid w:val="00657BC2"/>
    <w:rsid w:val="0078706C"/>
    <w:rsid w:val="007E3FC3"/>
    <w:rsid w:val="009B56F9"/>
    <w:rsid w:val="00AB1FDB"/>
    <w:rsid w:val="00B935C8"/>
    <w:rsid w:val="00C26B76"/>
    <w:rsid w:val="00D35F77"/>
    <w:rsid w:val="00DD1BD1"/>
    <w:rsid w:val="00E33680"/>
    <w:rsid w:val="00E91445"/>
    <w:rsid w:val="00FD067D"/>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AE6C"/>
  <w15:chartTrackingRefBased/>
  <w15:docId w15:val="{779933AA-5259-4FCD-A1CE-5B0F2ACD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35E4"/>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5935E4"/>
    <w:rPr>
      <w:sz w:val="16"/>
      <w:szCs w:val="16"/>
    </w:rPr>
  </w:style>
  <w:style w:type="paragraph" w:styleId="Tekstkomentarza">
    <w:name w:val="annotation text"/>
    <w:basedOn w:val="Normalny"/>
    <w:link w:val="TekstkomentarzaZnak"/>
    <w:uiPriority w:val="99"/>
    <w:unhideWhenUsed/>
    <w:rsid w:val="005935E4"/>
    <w:rPr>
      <w:sz w:val="20"/>
      <w:szCs w:val="20"/>
    </w:rPr>
  </w:style>
  <w:style w:type="character" w:customStyle="1" w:styleId="TekstkomentarzaZnak">
    <w:name w:val="Tekst komentarza Znak"/>
    <w:basedOn w:val="Domylnaczcionkaakapitu"/>
    <w:link w:val="Tekstkomentarza"/>
    <w:uiPriority w:val="99"/>
    <w:rsid w:val="005935E4"/>
    <w:rPr>
      <w:sz w:val="20"/>
      <w:szCs w:val="20"/>
    </w:rPr>
  </w:style>
  <w:style w:type="paragraph" w:styleId="Akapitzlist">
    <w:name w:val="List Paragraph"/>
    <w:basedOn w:val="Normalny"/>
    <w:uiPriority w:val="34"/>
    <w:qFormat/>
    <w:rsid w:val="00B935C8"/>
    <w:pPr>
      <w:ind w:left="720"/>
      <w:contextualSpacing/>
    </w:pPr>
  </w:style>
  <w:style w:type="paragraph" w:styleId="Tekstdymka">
    <w:name w:val="Balloon Text"/>
    <w:basedOn w:val="Normalny"/>
    <w:link w:val="TekstdymkaZnak"/>
    <w:uiPriority w:val="99"/>
    <w:semiHidden/>
    <w:unhideWhenUsed/>
    <w:rsid w:val="00C26B76"/>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6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2880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Twarowska</dc:creator>
  <cp:keywords/>
  <dc:description/>
  <cp:lastModifiedBy>Izabela Ziółkiewicz</cp:lastModifiedBy>
  <cp:revision>2</cp:revision>
  <cp:lastPrinted>2021-03-31T13:01:00Z</cp:lastPrinted>
  <dcterms:created xsi:type="dcterms:W3CDTF">2021-03-31T13:02:00Z</dcterms:created>
  <dcterms:modified xsi:type="dcterms:W3CDTF">2021-03-31T13:02:00Z</dcterms:modified>
</cp:coreProperties>
</file>